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4D01C" w14:textId="77777777" w:rsidR="0027484E" w:rsidRDefault="00203ADF" w:rsidP="00216A4C">
      <w:pPr>
        <w:jc w:val="center"/>
        <w:rPr>
          <w:rFonts w:ascii="Times New Roman" w:hAnsi="Times New Roman" w:cs="Times New Roman"/>
          <w:b/>
          <w:szCs w:val="22"/>
        </w:rPr>
      </w:pPr>
      <w:r>
        <w:rPr>
          <w:rFonts w:ascii="Times New Roman" w:hAnsi="Times New Roman" w:cs="Times New Roman"/>
          <w:b/>
          <w:szCs w:val="22"/>
        </w:rPr>
        <w:t xml:space="preserve">Environmental Law and Policy Annual Review Top 20 Article Selections </w:t>
      </w:r>
    </w:p>
    <w:p w14:paraId="51291A5B" w14:textId="1A3521DF" w:rsidR="00A35B6C" w:rsidRPr="000B0B4F" w:rsidRDefault="00203ADF" w:rsidP="00216A4C">
      <w:pPr>
        <w:jc w:val="center"/>
        <w:rPr>
          <w:rFonts w:ascii="Times New Roman" w:hAnsi="Times New Roman" w:cs="Times New Roman"/>
          <w:b/>
          <w:szCs w:val="22"/>
        </w:rPr>
      </w:pPr>
      <w:r>
        <w:rPr>
          <w:rFonts w:ascii="Times New Roman" w:hAnsi="Times New Roman" w:cs="Times New Roman"/>
          <w:b/>
          <w:szCs w:val="22"/>
        </w:rPr>
        <w:t>2019 – 2020 Academic Year</w:t>
      </w:r>
      <w:r w:rsidR="0027484E">
        <w:rPr>
          <w:rFonts w:ascii="Times New Roman" w:hAnsi="Times New Roman" w:cs="Times New Roman"/>
          <w:b/>
          <w:szCs w:val="22"/>
        </w:rPr>
        <w:t>*</w:t>
      </w:r>
      <w:r>
        <w:rPr>
          <w:rFonts w:ascii="Times New Roman" w:hAnsi="Times New Roman" w:cs="Times New Roman"/>
          <w:b/>
          <w:szCs w:val="22"/>
        </w:rPr>
        <w:t xml:space="preserve"> </w:t>
      </w:r>
    </w:p>
    <w:p w14:paraId="30E4F15F" w14:textId="77777777" w:rsidR="00A35B6C" w:rsidRPr="007A453D" w:rsidRDefault="00A35B6C" w:rsidP="00216A4C">
      <w:pPr>
        <w:jc w:val="center"/>
        <w:rPr>
          <w:rFonts w:ascii="Times New Roman" w:hAnsi="Times New Roman" w:cs="Times New Roman"/>
          <w:sz w:val="20"/>
          <w:szCs w:val="20"/>
        </w:rPr>
      </w:pPr>
    </w:p>
    <w:tbl>
      <w:tblPr>
        <w:tblStyle w:val="TableGrid"/>
        <w:tblW w:w="10908" w:type="dxa"/>
        <w:tblLayout w:type="fixed"/>
        <w:tblCellMar>
          <w:top w:w="115" w:type="dxa"/>
          <w:left w:w="115" w:type="dxa"/>
          <w:bottom w:w="115" w:type="dxa"/>
          <w:right w:w="115" w:type="dxa"/>
        </w:tblCellMar>
        <w:tblLook w:val="04A0" w:firstRow="1" w:lastRow="0" w:firstColumn="1" w:lastColumn="0" w:noHBand="0" w:noVBand="1"/>
      </w:tblPr>
      <w:tblGrid>
        <w:gridCol w:w="1435"/>
        <w:gridCol w:w="1643"/>
        <w:gridCol w:w="2160"/>
        <w:gridCol w:w="1980"/>
        <w:gridCol w:w="3690"/>
      </w:tblGrid>
      <w:tr w:rsidR="00D152FD" w:rsidRPr="007A453D" w14:paraId="3C5E3304" w14:textId="77777777" w:rsidTr="00A07838">
        <w:trPr>
          <w:trHeight w:val="233"/>
        </w:trPr>
        <w:tc>
          <w:tcPr>
            <w:tcW w:w="1435" w:type="dxa"/>
          </w:tcPr>
          <w:p w14:paraId="2CDBF733" w14:textId="77777777" w:rsidR="00BE6914" w:rsidRPr="007A453D" w:rsidRDefault="00BE6914" w:rsidP="00216A4C">
            <w:pPr>
              <w:jc w:val="center"/>
              <w:rPr>
                <w:rFonts w:ascii="Times New Roman" w:hAnsi="Times New Roman" w:cs="Times New Roman"/>
                <w:b/>
                <w:sz w:val="20"/>
                <w:szCs w:val="20"/>
              </w:rPr>
            </w:pPr>
            <w:r w:rsidRPr="007A453D">
              <w:rPr>
                <w:rFonts w:ascii="Times New Roman" w:hAnsi="Times New Roman" w:cs="Times New Roman"/>
                <w:b/>
                <w:sz w:val="20"/>
                <w:szCs w:val="20"/>
              </w:rPr>
              <w:t>Author</w:t>
            </w:r>
          </w:p>
        </w:tc>
        <w:tc>
          <w:tcPr>
            <w:tcW w:w="1643" w:type="dxa"/>
          </w:tcPr>
          <w:p w14:paraId="0DA7322D" w14:textId="77777777" w:rsidR="00BE6914" w:rsidRPr="007A453D" w:rsidRDefault="00BE6914" w:rsidP="00216A4C">
            <w:pPr>
              <w:jc w:val="center"/>
              <w:rPr>
                <w:rFonts w:ascii="Times New Roman" w:hAnsi="Times New Roman" w:cs="Times New Roman"/>
                <w:b/>
                <w:sz w:val="20"/>
                <w:szCs w:val="20"/>
              </w:rPr>
            </w:pPr>
            <w:r w:rsidRPr="007A453D">
              <w:rPr>
                <w:rFonts w:ascii="Times New Roman" w:hAnsi="Times New Roman" w:cs="Times New Roman"/>
                <w:b/>
                <w:sz w:val="20"/>
                <w:szCs w:val="20"/>
              </w:rPr>
              <w:t>Title</w:t>
            </w:r>
          </w:p>
        </w:tc>
        <w:tc>
          <w:tcPr>
            <w:tcW w:w="2160" w:type="dxa"/>
          </w:tcPr>
          <w:p w14:paraId="623CA93C" w14:textId="77777777" w:rsidR="00BE6914" w:rsidRPr="007A453D" w:rsidRDefault="00BE6914" w:rsidP="00216A4C">
            <w:pPr>
              <w:jc w:val="center"/>
              <w:rPr>
                <w:rFonts w:ascii="Times New Roman" w:hAnsi="Times New Roman" w:cs="Times New Roman"/>
                <w:b/>
                <w:sz w:val="20"/>
                <w:szCs w:val="20"/>
              </w:rPr>
            </w:pPr>
            <w:r w:rsidRPr="007A453D">
              <w:rPr>
                <w:rFonts w:ascii="Times New Roman" w:hAnsi="Times New Roman" w:cs="Times New Roman"/>
                <w:b/>
                <w:sz w:val="20"/>
                <w:szCs w:val="20"/>
              </w:rPr>
              <w:t>Citation and URL</w:t>
            </w:r>
          </w:p>
        </w:tc>
        <w:tc>
          <w:tcPr>
            <w:tcW w:w="1980" w:type="dxa"/>
          </w:tcPr>
          <w:p w14:paraId="4C35482D" w14:textId="77777777" w:rsidR="00BE6914" w:rsidRPr="007A453D" w:rsidRDefault="00BE6914" w:rsidP="00216A4C">
            <w:pPr>
              <w:jc w:val="center"/>
              <w:rPr>
                <w:rFonts w:ascii="Times New Roman" w:hAnsi="Times New Roman" w:cs="Times New Roman"/>
                <w:b/>
                <w:sz w:val="20"/>
                <w:szCs w:val="20"/>
              </w:rPr>
            </w:pPr>
            <w:r w:rsidRPr="007A453D">
              <w:rPr>
                <w:rFonts w:ascii="Times New Roman" w:hAnsi="Times New Roman" w:cs="Times New Roman"/>
                <w:b/>
                <w:sz w:val="20"/>
                <w:szCs w:val="20"/>
              </w:rPr>
              <w:t>Topic</w:t>
            </w:r>
          </w:p>
        </w:tc>
        <w:tc>
          <w:tcPr>
            <w:tcW w:w="3690" w:type="dxa"/>
          </w:tcPr>
          <w:p w14:paraId="331EB6F9" w14:textId="77777777" w:rsidR="00BE6914" w:rsidRPr="007A453D" w:rsidRDefault="00BE6914" w:rsidP="003B5AA7">
            <w:pPr>
              <w:jc w:val="center"/>
              <w:rPr>
                <w:rFonts w:ascii="Times New Roman" w:hAnsi="Times New Roman" w:cs="Times New Roman"/>
                <w:b/>
                <w:sz w:val="20"/>
                <w:szCs w:val="20"/>
              </w:rPr>
            </w:pPr>
            <w:r w:rsidRPr="007A453D">
              <w:rPr>
                <w:rFonts w:ascii="Times New Roman" w:hAnsi="Times New Roman" w:cs="Times New Roman"/>
                <w:b/>
                <w:sz w:val="20"/>
                <w:szCs w:val="20"/>
              </w:rPr>
              <w:t>The Big Idea</w:t>
            </w:r>
          </w:p>
        </w:tc>
      </w:tr>
      <w:tr w:rsidR="00E048DE" w:rsidRPr="0030573B" w14:paraId="01767DE8" w14:textId="77777777" w:rsidTr="00A07838">
        <w:trPr>
          <w:cantSplit/>
        </w:trPr>
        <w:tc>
          <w:tcPr>
            <w:tcW w:w="1435" w:type="dxa"/>
            <w:vAlign w:val="center"/>
          </w:tcPr>
          <w:p w14:paraId="530C25BB" w14:textId="2C844837" w:rsidR="00E048DE" w:rsidRPr="0030573B" w:rsidRDefault="00E048DE" w:rsidP="00E048DE">
            <w:pPr>
              <w:jc w:val="center"/>
              <w:rPr>
                <w:rFonts w:ascii="Times New Roman" w:hAnsi="Times New Roman" w:cs="Times New Roman"/>
                <w:sz w:val="20"/>
                <w:szCs w:val="20"/>
              </w:rPr>
            </w:pPr>
            <w:r w:rsidRPr="0030573B">
              <w:rPr>
                <w:rFonts w:ascii="Times New Roman" w:eastAsia="Times New Roman" w:hAnsi="Times New Roman" w:cs="Times New Roman"/>
                <w:color w:val="000000"/>
                <w:sz w:val="20"/>
                <w:szCs w:val="20"/>
              </w:rPr>
              <w:t>Burger, Michael</w:t>
            </w:r>
            <w:r w:rsidR="00511A1A">
              <w:rPr>
                <w:rFonts w:ascii="Times New Roman" w:eastAsia="Times New Roman" w:hAnsi="Times New Roman" w:cs="Times New Roman"/>
                <w:color w:val="000000"/>
                <w:sz w:val="20"/>
                <w:szCs w:val="20"/>
              </w:rPr>
              <w:t xml:space="preserve"> et al. </w:t>
            </w:r>
          </w:p>
        </w:tc>
        <w:tc>
          <w:tcPr>
            <w:tcW w:w="1643" w:type="dxa"/>
            <w:vAlign w:val="center"/>
          </w:tcPr>
          <w:p w14:paraId="1410690D" w14:textId="167251ED" w:rsidR="00E048DE" w:rsidRPr="0030573B" w:rsidRDefault="0029477C" w:rsidP="00E048DE">
            <w:pPr>
              <w:jc w:val="center"/>
              <w:rPr>
                <w:rFonts w:ascii="Times New Roman" w:hAnsi="Times New Roman" w:cs="Times New Roman"/>
                <w:i/>
                <w:sz w:val="20"/>
                <w:szCs w:val="20"/>
              </w:rPr>
            </w:pPr>
            <w:r>
              <w:rPr>
                <w:rFonts w:ascii="Times New Roman" w:eastAsia="Times New Roman" w:hAnsi="Times New Roman" w:cs="Times New Roman"/>
                <w:i/>
                <w:color w:val="000000"/>
                <w:sz w:val="20"/>
                <w:szCs w:val="20"/>
              </w:rPr>
              <w:t>The Law and Science o</w:t>
            </w:r>
            <w:r w:rsidR="00E048DE" w:rsidRPr="0030573B">
              <w:rPr>
                <w:rFonts w:ascii="Times New Roman" w:eastAsia="Times New Roman" w:hAnsi="Times New Roman" w:cs="Times New Roman"/>
                <w:i/>
                <w:color w:val="000000"/>
                <w:sz w:val="20"/>
                <w:szCs w:val="20"/>
              </w:rPr>
              <w:t>f Climate Change Attribution</w:t>
            </w:r>
          </w:p>
        </w:tc>
        <w:tc>
          <w:tcPr>
            <w:tcW w:w="2160" w:type="dxa"/>
            <w:vAlign w:val="center"/>
          </w:tcPr>
          <w:p w14:paraId="7CA8F468" w14:textId="77777777" w:rsidR="00E048DE" w:rsidRDefault="00E048DE" w:rsidP="00E048DE">
            <w:pPr>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45 COLUM. J. ENVTL. L. 57</w:t>
            </w:r>
          </w:p>
          <w:p w14:paraId="5A02DB5D" w14:textId="77777777" w:rsidR="005118EC" w:rsidRDefault="005118EC" w:rsidP="00E048DE">
            <w:pPr>
              <w:jc w:val="center"/>
              <w:rPr>
                <w:rFonts w:ascii="Times New Roman" w:eastAsia="Times New Roman" w:hAnsi="Times New Roman" w:cs="Times New Roman"/>
                <w:color w:val="000000"/>
                <w:sz w:val="20"/>
                <w:szCs w:val="20"/>
              </w:rPr>
            </w:pPr>
          </w:p>
          <w:p w14:paraId="549AE3B3" w14:textId="17188C4B" w:rsidR="005118EC" w:rsidRPr="005118EC" w:rsidRDefault="00D2267C" w:rsidP="005118EC">
            <w:pPr>
              <w:jc w:val="center"/>
              <w:rPr>
                <w:rFonts w:ascii="Times New Roman" w:eastAsia="Times New Roman" w:hAnsi="Times New Roman" w:cs="Times New Roman"/>
                <w:color w:val="000000"/>
                <w:sz w:val="20"/>
                <w:szCs w:val="20"/>
              </w:rPr>
            </w:pPr>
            <w:hyperlink r:id="rId6" w:history="1">
              <w:r w:rsidR="005118EC" w:rsidRPr="005118EC">
                <w:rPr>
                  <w:rStyle w:val="Hyperlink"/>
                  <w:rFonts w:ascii="Times New Roman" w:eastAsia="Times New Roman" w:hAnsi="Times New Roman" w:cs="Times New Roman"/>
                  <w:sz w:val="20"/>
                  <w:szCs w:val="20"/>
                </w:rPr>
                <w:t>https://journals.library.columbia.edu/index.php/cjel/article/view/4730/2118</w:t>
              </w:r>
            </w:hyperlink>
          </w:p>
        </w:tc>
        <w:tc>
          <w:tcPr>
            <w:tcW w:w="1980" w:type="dxa"/>
            <w:vAlign w:val="center"/>
          </w:tcPr>
          <w:p w14:paraId="551E2AE9" w14:textId="2CEBD674" w:rsidR="00E048DE" w:rsidRPr="0030573B" w:rsidRDefault="005118EC" w:rsidP="00294F4F">
            <w:pPr>
              <w:jc w:val="center"/>
              <w:rPr>
                <w:rFonts w:ascii="Times New Roman" w:hAnsi="Times New Roman" w:cs="Times New Roman"/>
                <w:sz w:val="20"/>
                <w:szCs w:val="20"/>
              </w:rPr>
            </w:pPr>
            <w:r>
              <w:rPr>
                <w:rFonts w:ascii="Times New Roman" w:hAnsi="Times New Roman" w:cs="Times New Roman"/>
                <w:sz w:val="20"/>
                <w:szCs w:val="20"/>
              </w:rPr>
              <w:t>Climate Change</w:t>
            </w:r>
          </w:p>
        </w:tc>
        <w:tc>
          <w:tcPr>
            <w:tcW w:w="3690" w:type="dxa"/>
            <w:vAlign w:val="center"/>
          </w:tcPr>
          <w:p w14:paraId="0161012B" w14:textId="7FC57257" w:rsidR="00E048DE" w:rsidRPr="0030573B" w:rsidRDefault="00D36978" w:rsidP="00E048DE">
            <w:pPr>
              <w:autoSpaceDE w:val="0"/>
              <w:autoSpaceDN w:val="0"/>
              <w:adjustRightInd w:val="0"/>
              <w:rPr>
                <w:rFonts w:ascii="Times New Roman" w:hAnsi="Times New Roman" w:cs="Times New Roman"/>
                <w:sz w:val="20"/>
                <w:szCs w:val="20"/>
              </w:rPr>
            </w:pPr>
            <w:r w:rsidRPr="00D36978">
              <w:rPr>
                <w:rFonts w:ascii="Times New Roman" w:hAnsi="Times New Roman" w:cs="Times New Roman"/>
                <w:sz w:val="20"/>
                <w:szCs w:val="20"/>
              </w:rPr>
              <w:t>Based on a multidisciplinary team’s thorough assessment of the state of climate attribution science, which links climate change and its impacts to anthropogenic sources of greenhouse gas emissions, policymakers and litigants should: 1) communicate climate research to a broader audience; 2) link individual studies to fully establish causal chains; 3) engage stakeholders in research efforts; 4) pursue further research to reduce uncertainties associated with key findings; and 5) use attribution research in litigation to establish standing and justifiability, demonstrate causation, and prove obligations and redressability. </w:t>
            </w:r>
          </w:p>
        </w:tc>
      </w:tr>
      <w:tr w:rsidR="00E048DE" w:rsidRPr="0030573B" w14:paraId="4C8D1413" w14:textId="77777777" w:rsidTr="00A07838">
        <w:trPr>
          <w:cantSplit/>
        </w:trPr>
        <w:tc>
          <w:tcPr>
            <w:tcW w:w="1435" w:type="dxa"/>
            <w:vAlign w:val="center"/>
          </w:tcPr>
          <w:p w14:paraId="2E4E0FF9" w14:textId="1CF04194" w:rsidR="00E048DE" w:rsidRPr="0030573B" w:rsidRDefault="00E048DE" w:rsidP="00E048DE">
            <w:pPr>
              <w:jc w:val="center"/>
              <w:rPr>
                <w:rFonts w:ascii="Times New Roman" w:hAnsi="Times New Roman" w:cs="Times New Roman"/>
                <w:sz w:val="20"/>
                <w:szCs w:val="20"/>
              </w:rPr>
            </w:pPr>
            <w:r w:rsidRPr="0030573B">
              <w:rPr>
                <w:rFonts w:ascii="Times New Roman" w:eastAsia="Times New Roman" w:hAnsi="Times New Roman" w:cs="Times New Roman"/>
                <w:color w:val="000000"/>
                <w:sz w:val="20"/>
                <w:szCs w:val="20"/>
              </w:rPr>
              <w:t>Condon, Madison</w:t>
            </w:r>
          </w:p>
        </w:tc>
        <w:tc>
          <w:tcPr>
            <w:tcW w:w="1643" w:type="dxa"/>
            <w:vAlign w:val="center"/>
          </w:tcPr>
          <w:p w14:paraId="03C78B78" w14:textId="4E808B13" w:rsidR="00E048DE" w:rsidRPr="0030573B" w:rsidRDefault="0029477C" w:rsidP="00E048DE">
            <w:pPr>
              <w:jc w:val="center"/>
              <w:rPr>
                <w:rFonts w:ascii="Times New Roman" w:hAnsi="Times New Roman" w:cs="Times New Roman"/>
                <w:i/>
                <w:sz w:val="20"/>
                <w:szCs w:val="20"/>
              </w:rPr>
            </w:pPr>
            <w:r>
              <w:rPr>
                <w:rFonts w:ascii="Times New Roman" w:eastAsia="Times New Roman" w:hAnsi="Times New Roman" w:cs="Times New Roman"/>
                <w:i/>
                <w:color w:val="000000"/>
                <w:sz w:val="20"/>
                <w:szCs w:val="20"/>
              </w:rPr>
              <w:t>Externalities and t</w:t>
            </w:r>
            <w:r w:rsidR="00E048DE" w:rsidRPr="0030573B">
              <w:rPr>
                <w:rFonts w:ascii="Times New Roman" w:eastAsia="Times New Roman" w:hAnsi="Times New Roman" w:cs="Times New Roman"/>
                <w:i/>
                <w:color w:val="000000"/>
                <w:sz w:val="20"/>
                <w:szCs w:val="20"/>
              </w:rPr>
              <w:t>he Common Owner</w:t>
            </w:r>
          </w:p>
        </w:tc>
        <w:tc>
          <w:tcPr>
            <w:tcW w:w="2160" w:type="dxa"/>
            <w:vAlign w:val="center"/>
          </w:tcPr>
          <w:p w14:paraId="54E921E9" w14:textId="77777777" w:rsidR="00E048DE" w:rsidRDefault="00E048DE" w:rsidP="00E048DE">
            <w:pPr>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95 WASH. L. REV. 1</w:t>
            </w:r>
          </w:p>
          <w:p w14:paraId="794FEB59" w14:textId="77777777" w:rsidR="00E920DE" w:rsidRDefault="00E920DE" w:rsidP="00E048DE">
            <w:pPr>
              <w:jc w:val="center"/>
              <w:rPr>
                <w:rFonts w:ascii="Times New Roman" w:eastAsia="Times New Roman" w:hAnsi="Times New Roman" w:cs="Times New Roman"/>
                <w:color w:val="000000"/>
                <w:sz w:val="20"/>
                <w:szCs w:val="20"/>
              </w:rPr>
            </w:pPr>
          </w:p>
          <w:p w14:paraId="0A049BB0" w14:textId="77777777" w:rsidR="00E920DE" w:rsidRPr="00E920DE" w:rsidRDefault="00D2267C" w:rsidP="00E920DE">
            <w:pPr>
              <w:jc w:val="center"/>
              <w:rPr>
                <w:rFonts w:ascii="Times New Roman" w:eastAsia="Times New Roman" w:hAnsi="Times New Roman" w:cs="Times New Roman"/>
                <w:color w:val="000000"/>
                <w:sz w:val="20"/>
                <w:szCs w:val="20"/>
              </w:rPr>
            </w:pPr>
            <w:hyperlink r:id="rId7" w:history="1">
              <w:r w:rsidR="00E920DE" w:rsidRPr="00E920DE">
                <w:rPr>
                  <w:rStyle w:val="Hyperlink"/>
                  <w:rFonts w:ascii="Times New Roman" w:eastAsia="Times New Roman" w:hAnsi="Times New Roman" w:cs="Times New Roman"/>
                  <w:sz w:val="20"/>
                  <w:szCs w:val="20"/>
                </w:rPr>
                <w:t>https://digitalcommons.law.uw.edu/cgi/viewcontent.cgi?article=5103&amp;context=wlr</w:t>
              </w:r>
            </w:hyperlink>
          </w:p>
          <w:p w14:paraId="193E1D10" w14:textId="0EC6BD11" w:rsidR="00E920DE" w:rsidRPr="0030573B" w:rsidRDefault="00E920DE" w:rsidP="00E048DE">
            <w:pPr>
              <w:jc w:val="center"/>
              <w:rPr>
                <w:rFonts w:ascii="Times New Roman" w:eastAsia="Times New Roman" w:hAnsi="Times New Roman" w:cs="Times New Roman"/>
                <w:sz w:val="20"/>
                <w:szCs w:val="20"/>
              </w:rPr>
            </w:pPr>
          </w:p>
        </w:tc>
        <w:tc>
          <w:tcPr>
            <w:tcW w:w="1980" w:type="dxa"/>
            <w:vAlign w:val="center"/>
          </w:tcPr>
          <w:p w14:paraId="7EEDB790" w14:textId="0610A54E" w:rsidR="00E048DE" w:rsidRPr="0030573B" w:rsidRDefault="00294F4F" w:rsidP="00E048DE">
            <w:pPr>
              <w:jc w:val="center"/>
              <w:rPr>
                <w:rFonts w:ascii="Times New Roman" w:hAnsi="Times New Roman" w:cs="Times New Roman"/>
                <w:sz w:val="20"/>
                <w:szCs w:val="20"/>
              </w:rPr>
            </w:pPr>
            <w:r w:rsidRPr="0030573B">
              <w:rPr>
                <w:rFonts w:ascii="Times New Roman" w:hAnsi="Times New Roman" w:cs="Times New Roman"/>
                <w:sz w:val="20"/>
                <w:szCs w:val="20"/>
              </w:rPr>
              <w:t>Governance</w:t>
            </w:r>
            <w:r>
              <w:rPr>
                <w:rFonts w:ascii="Times New Roman" w:hAnsi="Times New Roman" w:cs="Times New Roman"/>
                <w:sz w:val="20"/>
                <w:szCs w:val="20"/>
              </w:rPr>
              <w:t>/Climate Change</w:t>
            </w:r>
          </w:p>
        </w:tc>
        <w:tc>
          <w:tcPr>
            <w:tcW w:w="3690" w:type="dxa"/>
            <w:vAlign w:val="center"/>
          </w:tcPr>
          <w:p w14:paraId="00A81DD5" w14:textId="59C469B7" w:rsidR="00E048DE" w:rsidRPr="0030573B" w:rsidRDefault="00E7732D" w:rsidP="00E048DE">
            <w:pPr>
              <w:autoSpaceDE w:val="0"/>
              <w:autoSpaceDN w:val="0"/>
              <w:adjustRightInd w:val="0"/>
              <w:rPr>
                <w:rFonts w:ascii="Times New Roman" w:hAnsi="Times New Roman" w:cs="Times New Roman"/>
                <w:sz w:val="20"/>
                <w:szCs w:val="20"/>
              </w:rPr>
            </w:pPr>
            <w:r w:rsidRPr="00E7732D">
              <w:rPr>
                <w:rFonts w:ascii="Times New Roman" w:hAnsi="Times New Roman" w:cs="Times New Roman"/>
                <w:sz w:val="20"/>
                <w:szCs w:val="20"/>
              </w:rPr>
              <w:t>A growing number of institutional investors, by virtue of holding a very large percentage of the shares in multiple industry competitors, have incentives to engage in firm-level climate change activism that reflects portfolio-level motivations to maximize profit by reducing the negative externalities (e.g., carbon emissions) of the firms in their portfolios rather than conforming to traditional expectations of profit-maximizing shareholders, and corporate law should acknowledge and engage with this implication of common ownership.</w:t>
            </w:r>
          </w:p>
        </w:tc>
      </w:tr>
      <w:tr w:rsidR="00E048DE" w:rsidRPr="0030573B" w14:paraId="0EFC2306" w14:textId="77777777" w:rsidTr="00A07838">
        <w:trPr>
          <w:cantSplit/>
        </w:trPr>
        <w:tc>
          <w:tcPr>
            <w:tcW w:w="1435" w:type="dxa"/>
            <w:vAlign w:val="center"/>
          </w:tcPr>
          <w:p w14:paraId="7F81A896" w14:textId="461BF4B6" w:rsidR="00E048DE" w:rsidRPr="0030573B" w:rsidRDefault="00E048DE" w:rsidP="00E048DE">
            <w:pPr>
              <w:jc w:val="center"/>
              <w:rPr>
                <w:rFonts w:ascii="Times New Roman" w:hAnsi="Times New Roman" w:cs="Times New Roman"/>
                <w:sz w:val="20"/>
                <w:szCs w:val="20"/>
              </w:rPr>
            </w:pPr>
            <w:r w:rsidRPr="0030573B">
              <w:rPr>
                <w:rFonts w:ascii="Times New Roman" w:eastAsia="Times New Roman" w:hAnsi="Times New Roman" w:cs="Times New Roman"/>
                <w:color w:val="000000"/>
                <w:sz w:val="20"/>
                <w:szCs w:val="20"/>
              </w:rPr>
              <w:t>Gosman, Sara</w:t>
            </w:r>
          </w:p>
        </w:tc>
        <w:tc>
          <w:tcPr>
            <w:tcW w:w="1643" w:type="dxa"/>
            <w:vAlign w:val="center"/>
          </w:tcPr>
          <w:p w14:paraId="2C2D7057" w14:textId="5E54B023" w:rsidR="00E048DE" w:rsidRPr="0030573B" w:rsidRDefault="00E048DE" w:rsidP="00E048DE">
            <w:pPr>
              <w:jc w:val="center"/>
              <w:rPr>
                <w:rFonts w:ascii="Times New Roman" w:hAnsi="Times New Roman" w:cs="Times New Roman"/>
                <w:i/>
                <w:sz w:val="20"/>
                <w:szCs w:val="20"/>
              </w:rPr>
            </w:pPr>
            <w:r w:rsidRPr="0030573B">
              <w:rPr>
                <w:rFonts w:ascii="Times New Roman" w:eastAsia="Times New Roman" w:hAnsi="Times New Roman" w:cs="Times New Roman"/>
                <w:i/>
                <w:color w:val="000000"/>
                <w:sz w:val="20"/>
                <w:szCs w:val="20"/>
              </w:rPr>
              <w:t>Planning Fo</w:t>
            </w:r>
            <w:r w:rsidR="0029477C">
              <w:rPr>
                <w:rFonts w:ascii="Times New Roman" w:eastAsia="Times New Roman" w:hAnsi="Times New Roman" w:cs="Times New Roman"/>
                <w:i/>
                <w:color w:val="000000"/>
                <w:sz w:val="20"/>
                <w:szCs w:val="20"/>
              </w:rPr>
              <w:t>r Failure: Pipelines, Risk, and t</w:t>
            </w:r>
            <w:r w:rsidRPr="0030573B">
              <w:rPr>
                <w:rFonts w:ascii="Times New Roman" w:eastAsia="Times New Roman" w:hAnsi="Times New Roman" w:cs="Times New Roman"/>
                <w:i/>
                <w:color w:val="000000"/>
                <w:sz w:val="20"/>
                <w:szCs w:val="20"/>
              </w:rPr>
              <w:t>he Energy Revolution</w:t>
            </w:r>
          </w:p>
        </w:tc>
        <w:tc>
          <w:tcPr>
            <w:tcW w:w="2160" w:type="dxa"/>
            <w:vAlign w:val="center"/>
          </w:tcPr>
          <w:p w14:paraId="5A3D5D08" w14:textId="77777777" w:rsidR="00E048DE" w:rsidRDefault="00E048DE" w:rsidP="00E048DE">
            <w:pPr>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81 OHIO ST. L.J. 349</w:t>
            </w:r>
          </w:p>
          <w:p w14:paraId="128653AC" w14:textId="77777777" w:rsidR="00E920DE" w:rsidRDefault="00E920DE" w:rsidP="00E048DE">
            <w:pPr>
              <w:jc w:val="center"/>
              <w:rPr>
                <w:rFonts w:ascii="Times New Roman" w:eastAsia="Times New Roman" w:hAnsi="Times New Roman" w:cs="Times New Roman"/>
                <w:color w:val="000000"/>
                <w:sz w:val="20"/>
                <w:szCs w:val="20"/>
              </w:rPr>
            </w:pPr>
          </w:p>
          <w:p w14:paraId="46449738" w14:textId="77777777" w:rsidR="00E920DE" w:rsidRPr="00E920DE" w:rsidRDefault="00D2267C" w:rsidP="00E920DE">
            <w:pPr>
              <w:jc w:val="center"/>
              <w:rPr>
                <w:rFonts w:ascii="Times New Roman" w:eastAsia="Times New Roman" w:hAnsi="Times New Roman" w:cs="Times New Roman"/>
                <w:color w:val="000000"/>
                <w:sz w:val="20"/>
                <w:szCs w:val="20"/>
              </w:rPr>
            </w:pPr>
            <w:hyperlink r:id="rId8" w:history="1">
              <w:r w:rsidR="00E920DE" w:rsidRPr="00E920DE">
                <w:rPr>
                  <w:rStyle w:val="Hyperlink"/>
                  <w:rFonts w:ascii="Times New Roman" w:eastAsia="Times New Roman" w:hAnsi="Times New Roman" w:cs="Times New Roman"/>
                  <w:sz w:val="20"/>
                  <w:szCs w:val="20"/>
                </w:rPr>
                <w:t>https://kb.osu.edu/bitstream/handle/1811/91856/1/OSLJ_V81N3_0349.pdf</w:t>
              </w:r>
            </w:hyperlink>
          </w:p>
          <w:p w14:paraId="663B782B" w14:textId="7F26E75A" w:rsidR="00E920DE" w:rsidRPr="0030573B" w:rsidRDefault="00E920DE" w:rsidP="00E048DE">
            <w:pPr>
              <w:jc w:val="center"/>
              <w:rPr>
                <w:rFonts w:ascii="Times New Roman" w:hAnsi="Times New Roman" w:cs="Times New Roman"/>
                <w:sz w:val="20"/>
                <w:szCs w:val="20"/>
              </w:rPr>
            </w:pPr>
          </w:p>
        </w:tc>
        <w:tc>
          <w:tcPr>
            <w:tcW w:w="1980" w:type="dxa"/>
            <w:vAlign w:val="center"/>
          </w:tcPr>
          <w:p w14:paraId="127DFD2A" w14:textId="6FA3EEF3" w:rsidR="00E048DE" w:rsidRPr="0030573B" w:rsidRDefault="005448F6" w:rsidP="00E048DE">
            <w:pPr>
              <w:jc w:val="center"/>
              <w:rPr>
                <w:rFonts w:ascii="Times New Roman" w:hAnsi="Times New Roman" w:cs="Times New Roman"/>
                <w:sz w:val="20"/>
                <w:szCs w:val="20"/>
              </w:rPr>
            </w:pPr>
            <w:r>
              <w:rPr>
                <w:rFonts w:ascii="Times New Roman" w:hAnsi="Times New Roman" w:cs="Times New Roman"/>
                <w:sz w:val="20"/>
                <w:szCs w:val="20"/>
              </w:rPr>
              <w:t>Energy</w:t>
            </w:r>
          </w:p>
        </w:tc>
        <w:tc>
          <w:tcPr>
            <w:tcW w:w="3690" w:type="dxa"/>
            <w:vAlign w:val="center"/>
          </w:tcPr>
          <w:p w14:paraId="0665EB2F" w14:textId="3828CB55" w:rsidR="00E048DE" w:rsidRPr="0030573B" w:rsidRDefault="00294F4F" w:rsidP="00E048DE">
            <w:pPr>
              <w:rPr>
                <w:rFonts w:ascii="Times New Roman" w:hAnsi="Times New Roman" w:cs="Times New Roman"/>
                <w:sz w:val="20"/>
                <w:szCs w:val="20"/>
              </w:rPr>
            </w:pPr>
            <w:r w:rsidRPr="00294F4F">
              <w:rPr>
                <w:rFonts w:ascii="Times New Roman" w:hAnsi="Times New Roman" w:cs="Times New Roman"/>
                <w:sz w:val="20"/>
                <w:szCs w:val="20"/>
              </w:rPr>
              <w:t xml:space="preserve">Pipeline safety and siting frameworks should be consolidated into one risk governance system administered by the Pipeline and Hazardous Materials Safety Administration to improve overall economic efficiency and </w:t>
            </w:r>
            <w:r w:rsidR="00A71492">
              <w:rPr>
                <w:rFonts w:ascii="Times New Roman" w:hAnsi="Times New Roman" w:cs="Times New Roman"/>
                <w:sz w:val="20"/>
                <w:szCs w:val="20"/>
              </w:rPr>
              <w:t xml:space="preserve">to </w:t>
            </w:r>
            <w:r w:rsidRPr="00294F4F">
              <w:rPr>
                <w:rFonts w:ascii="Times New Roman" w:hAnsi="Times New Roman" w:cs="Times New Roman"/>
                <w:sz w:val="20"/>
                <w:szCs w:val="20"/>
              </w:rPr>
              <w:t>reduce the number of accidents and emergency response measures, as well as the risk management burden on communities and landowners.</w:t>
            </w:r>
          </w:p>
        </w:tc>
      </w:tr>
      <w:tr w:rsidR="00E048DE" w:rsidRPr="0030573B" w14:paraId="00D006E2" w14:textId="77777777" w:rsidTr="00A07838">
        <w:trPr>
          <w:cantSplit/>
        </w:trPr>
        <w:tc>
          <w:tcPr>
            <w:tcW w:w="1435" w:type="dxa"/>
            <w:vAlign w:val="center"/>
          </w:tcPr>
          <w:p w14:paraId="11910090" w14:textId="357282B4" w:rsidR="00E048DE" w:rsidRPr="0030573B" w:rsidRDefault="00E048DE" w:rsidP="00E048DE">
            <w:pPr>
              <w:jc w:val="center"/>
              <w:rPr>
                <w:rFonts w:ascii="Times New Roman" w:hAnsi="Times New Roman" w:cs="Times New Roman"/>
                <w:sz w:val="20"/>
                <w:szCs w:val="20"/>
              </w:rPr>
            </w:pPr>
            <w:r w:rsidRPr="0030573B">
              <w:rPr>
                <w:rFonts w:ascii="Times New Roman" w:eastAsia="Times New Roman" w:hAnsi="Times New Roman" w:cs="Times New Roman"/>
                <w:color w:val="000000"/>
                <w:sz w:val="20"/>
                <w:szCs w:val="20"/>
              </w:rPr>
              <w:t>Grannis, Jessica</w:t>
            </w:r>
          </w:p>
        </w:tc>
        <w:tc>
          <w:tcPr>
            <w:tcW w:w="1643" w:type="dxa"/>
            <w:vAlign w:val="center"/>
          </w:tcPr>
          <w:p w14:paraId="1F28BFF0" w14:textId="2BB97518" w:rsidR="00E048DE" w:rsidRPr="0030573B" w:rsidRDefault="00E048DE" w:rsidP="00E048DE">
            <w:pPr>
              <w:jc w:val="center"/>
              <w:rPr>
                <w:rFonts w:ascii="Times New Roman" w:hAnsi="Times New Roman" w:cs="Times New Roman"/>
                <w:i/>
                <w:sz w:val="20"/>
                <w:szCs w:val="20"/>
              </w:rPr>
            </w:pPr>
            <w:r w:rsidRPr="0030573B">
              <w:rPr>
                <w:rFonts w:ascii="Times New Roman" w:eastAsia="Times New Roman" w:hAnsi="Times New Roman" w:cs="Times New Roman"/>
                <w:i/>
                <w:color w:val="000000"/>
                <w:sz w:val="20"/>
                <w:szCs w:val="20"/>
              </w:rPr>
              <w:t>Community-Driven Climate Solutions: H</w:t>
            </w:r>
            <w:r w:rsidR="0029477C">
              <w:rPr>
                <w:rFonts w:ascii="Times New Roman" w:eastAsia="Times New Roman" w:hAnsi="Times New Roman" w:cs="Times New Roman"/>
                <w:i/>
                <w:color w:val="000000"/>
                <w:sz w:val="20"/>
                <w:szCs w:val="20"/>
              </w:rPr>
              <w:t>ow Public-Private Partnerships w</w:t>
            </w:r>
            <w:r w:rsidRPr="0030573B">
              <w:rPr>
                <w:rFonts w:ascii="Times New Roman" w:eastAsia="Times New Roman" w:hAnsi="Times New Roman" w:cs="Times New Roman"/>
                <w:i/>
                <w:color w:val="000000"/>
                <w:sz w:val="20"/>
                <w:szCs w:val="20"/>
              </w:rPr>
              <w:t>ith Land Trusts Can Advance Climate Action</w:t>
            </w:r>
          </w:p>
        </w:tc>
        <w:tc>
          <w:tcPr>
            <w:tcW w:w="2160" w:type="dxa"/>
            <w:vAlign w:val="center"/>
          </w:tcPr>
          <w:p w14:paraId="794D0BEE" w14:textId="77777777" w:rsidR="00E048DE" w:rsidRDefault="00E048DE" w:rsidP="00E048DE">
            <w:pPr>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44 WM. &amp; MARY ENVTL. L. &amp; POL’Y REV. 701</w:t>
            </w:r>
          </w:p>
          <w:p w14:paraId="06FAA3F6" w14:textId="77777777" w:rsidR="00E920DE" w:rsidRDefault="00E920DE" w:rsidP="00E048DE">
            <w:pPr>
              <w:jc w:val="center"/>
              <w:rPr>
                <w:rFonts w:ascii="Times New Roman" w:eastAsia="Times New Roman" w:hAnsi="Times New Roman" w:cs="Times New Roman"/>
                <w:color w:val="000000"/>
                <w:sz w:val="20"/>
                <w:szCs w:val="20"/>
              </w:rPr>
            </w:pPr>
          </w:p>
          <w:p w14:paraId="5870CFDC" w14:textId="77777777" w:rsidR="00E920DE" w:rsidRPr="00E920DE" w:rsidRDefault="00D2267C" w:rsidP="00E920DE">
            <w:pPr>
              <w:jc w:val="center"/>
              <w:rPr>
                <w:rFonts w:ascii="Times New Roman" w:eastAsia="Times New Roman" w:hAnsi="Times New Roman" w:cs="Times New Roman"/>
                <w:color w:val="000000"/>
                <w:sz w:val="20"/>
                <w:szCs w:val="20"/>
              </w:rPr>
            </w:pPr>
            <w:hyperlink r:id="rId9" w:history="1">
              <w:r w:rsidR="00E920DE" w:rsidRPr="00E920DE">
                <w:rPr>
                  <w:rStyle w:val="Hyperlink"/>
                  <w:rFonts w:ascii="Times New Roman" w:eastAsia="Times New Roman" w:hAnsi="Times New Roman" w:cs="Times New Roman"/>
                  <w:sz w:val="20"/>
                  <w:szCs w:val="20"/>
                </w:rPr>
                <w:t>https://scholarship.law.wm.edu/cgi/viewcontent.cgi?article=1763&amp;context=wmelpr</w:t>
              </w:r>
            </w:hyperlink>
          </w:p>
          <w:p w14:paraId="6677913E" w14:textId="1BCF9E5A" w:rsidR="00E920DE" w:rsidRPr="0030573B" w:rsidRDefault="00E920DE" w:rsidP="00E048DE">
            <w:pPr>
              <w:jc w:val="center"/>
              <w:rPr>
                <w:rFonts w:ascii="Times New Roman" w:eastAsia="Times New Roman" w:hAnsi="Times New Roman" w:cs="Times New Roman"/>
                <w:sz w:val="20"/>
                <w:szCs w:val="20"/>
              </w:rPr>
            </w:pPr>
          </w:p>
        </w:tc>
        <w:tc>
          <w:tcPr>
            <w:tcW w:w="1980" w:type="dxa"/>
            <w:vAlign w:val="center"/>
          </w:tcPr>
          <w:p w14:paraId="140BD244" w14:textId="5D1812CA" w:rsidR="00E048DE" w:rsidRPr="0030573B" w:rsidRDefault="008906DC" w:rsidP="00E048DE">
            <w:pPr>
              <w:jc w:val="center"/>
              <w:rPr>
                <w:rFonts w:ascii="Times New Roman" w:hAnsi="Times New Roman" w:cs="Times New Roman"/>
                <w:sz w:val="20"/>
                <w:szCs w:val="20"/>
              </w:rPr>
            </w:pPr>
            <w:r>
              <w:rPr>
                <w:rFonts w:ascii="Times New Roman" w:hAnsi="Times New Roman" w:cs="Times New Roman"/>
                <w:sz w:val="20"/>
                <w:szCs w:val="20"/>
              </w:rPr>
              <w:t>Land Use</w:t>
            </w:r>
            <w:r w:rsidR="004A7E40" w:rsidRPr="00752D41">
              <w:rPr>
                <w:rFonts w:ascii="Times New Roman" w:hAnsi="Times New Roman" w:cs="Times New Roman"/>
                <w:sz w:val="20"/>
                <w:szCs w:val="20"/>
              </w:rPr>
              <w:t>/Climate Change</w:t>
            </w:r>
          </w:p>
        </w:tc>
        <w:tc>
          <w:tcPr>
            <w:tcW w:w="3690" w:type="dxa"/>
            <w:vAlign w:val="center"/>
          </w:tcPr>
          <w:p w14:paraId="248E43E9" w14:textId="30F1C386" w:rsidR="00E048DE" w:rsidRPr="0030573B" w:rsidRDefault="00294F4F" w:rsidP="00E048DE">
            <w:pPr>
              <w:rPr>
                <w:rFonts w:ascii="Times New Roman" w:hAnsi="Times New Roman" w:cs="Times New Roman"/>
                <w:sz w:val="20"/>
                <w:szCs w:val="20"/>
              </w:rPr>
            </w:pPr>
            <w:r w:rsidRPr="00294F4F">
              <w:rPr>
                <w:rFonts w:ascii="Times New Roman" w:hAnsi="Times New Roman" w:cs="Times New Roman"/>
                <w:sz w:val="20"/>
                <w:szCs w:val="20"/>
              </w:rPr>
              <w:t>State and local governments can bolster community and conservation land trusts, which are designed to protect and preserve community resources for the benefit of the environment and future generations, through greater public-private partnerships that provide: 1) use or low-cost sale of public lands; 2) start-up funding and financing; and 3) training and technical support.</w:t>
            </w:r>
          </w:p>
        </w:tc>
      </w:tr>
      <w:tr w:rsidR="00E048DE" w:rsidRPr="0030573B" w14:paraId="2F37FBE7" w14:textId="77777777" w:rsidTr="00A07838">
        <w:trPr>
          <w:cantSplit/>
        </w:trPr>
        <w:tc>
          <w:tcPr>
            <w:tcW w:w="1435" w:type="dxa"/>
            <w:vAlign w:val="center"/>
          </w:tcPr>
          <w:p w14:paraId="47A4B948" w14:textId="46CCF559" w:rsidR="00E048DE" w:rsidRPr="0030573B" w:rsidRDefault="00E048DE" w:rsidP="00E048DE">
            <w:pPr>
              <w:jc w:val="center"/>
              <w:rPr>
                <w:rFonts w:ascii="Times New Roman" w:hAnsi="Times New Roman" w:cs="Times New Roman"/>
                <w:sz w:val="20"/>
                <w:szCs w:val="20"/>
              </w:rPr>
            </w:pPr>
            <w:r w:rsidRPr="0030573B">
              <w:rPr>
                <w:rFonts w:ascii="Times New Roman" w:eastAsia="Times New Roman" w:hAnsi="Times New Roman" w:cs="Times New Roman"/>
                <w:color w:val="000000"/>
                <w:sz w:val="20"/>
                <w:szCs w:val="20"/>
              </w:rPr>
              <w:lastRenderedPageBreak/>
              <w:t>Kakade, Seema</w:t>
            </w:r>
          </w:p>
        </w:tc>
        <w:tc>
          <w:tcPr>
            <w:tcW w:w="1643" w:type="dxa"/>
            <w:vAlign w:val="center"/>
          </w:tcPr>
          <w:p w14:paraId="1564ED4E" w14:textId="1A0B73B0" w:rsidR="00E048DE" w:rsidRPr="0030573B" w:rsidRDefault="0029477C" w:rsidP="00E048DE">
            <w:pPr>
              <w:jc w:val="center"/>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Remedial Payments i</w:t>
            </w:r>
            <w:r w:rsidR="00E048DE" w:rsidRPr="0030573B">
              <w:rPr>
                <w:rFonts w:ascii="Times New Roman" w:eastAsia="Times New Roman" w:hAnsi="Times New Roman" w:cs="Times New Roman"/>
                <w:i/>
                <w:color w:val="000000"/>
                <w:sz w:val="20"/>
                <w:szCs w:val="20"/>
              </w:rPr>
              <w:t>n Agency Enforcement</w:t>
            </w:r>
          </w:p>
        </w:tc>
        <w:tc>
          <w:tcPr>
            <w:tcW w:w="2160" w:type="dxa"/>
            <w:vAlign w:val="center"/>
          </w:tcPr>
          <w:p w14:paraId="606F34A4" w14:textId="77777777" w:rsidR="00E048DE" w:rsidRDefault="00E048DE" w:rsidP="00E048DE">
            <w:pPr>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44 HARV. ENVTL. L. REV. 117</w:t>
            </w:r>
          </w:p>
          <w:p w14:paraId="254EE83F" w14:textId="77777777" w:rsidR="00E920DE" w:rsidRDefault="00E920DE" w:rsidP="00E048DE">
            <w:pPr>
              <w:jc w:val="center"/>
              <w:rPr>
                <w:rFonts w:ascii="Times New Roman" w:eastAsia="Times New Roman" w:hAnsi="Times New Roman" w:cs="Times New Roman"/>
                <w:color w:val="000000"/>
                <w:sz w:val="20"/>
                <w:szCs w:val="20"/>
              </w:rPr>
            </w:pPr>
          </w:p>
          <w:p w14:paraId="5BF088B9" w14:textId="5F30926D" w:rsidR="00E920DE" w:rsidRPr="0030573B" w:rsidRDefault="00D2267C" w:rsidP="00E048DE">
            <w:pPr>
              <w:jc w:val="center"/>
              <w:rPr>
                <w:rFonts w:ascii="Times New Roman" w:eastAsia="Times New Roman" w:hAnsi="Times New Roman" w:cs="Times New Roman"/>
                <w:sz w:val="20"/>
                <w:szCs w:val="20"/>
              </w:rPr>
            </w:pPr>
            <w:hyperlink r:id="rId10" w:history="1">
              <w:r w:rsidR="00E920DE" w:rsidRPr="00E920DE">
                <w:rPr>
                  <w:rStyle w:val="Hyperlink"/>
                  <w:rFonts w:ascii="Times New Roman" w:eastAsia="Times New Roman" w:hAnsi="Times New Roman" w:cs="Times New Roman"/>
                  <w:sz w:val="20"/>
                  <w:szCs w:val="20"/>
                </w:rPr>
                <w:t>https://harvardelr.com/wp-content/uploads/sites/12/2020/04/44.1-Kakade.pdf</w:t>
              </w:r>
            </w:hyperlink>
          </w:p>
        </w:tc>
        <w:tc>
          <w:tcPr>
            <w:tcW w:w="1980" w:type="dxa"/>
            <w:vAlign w:val="center"/>
          </w:tcPr>
          <w:p w14:paraId="35BA14AC" w14:textId="623CA72C" w:rsidR="00E048DE" w:rsidRPr="0030573B" w:rsidRDefault="006344AF" w:rsidP="00E048DE">
            <w:pPr>
              <w:jc w:val="center"/>
              <w:rPr>
                <w:rFonts w:ascii="Times New Roman" w:hAnsi="Times New Roman" w:cs="Times New Roman"/>
                <w:sz w:val="20"/>
                <w:szCs w:val="20"/>
              </w:rPr>
            </w:pPr>
            <w:r>
              <w:rPr>
                <w:rFonts w:ascii="Times New Roman" w:hAnsi="Times New Roman" w:cs="Times New Roman"/>
                <w:sz w:val="20"/>
                <w:szCs w:val="20"/>
              </w:rPr>
              <w:t>Governance</w:t>
            </w:r>
            <w:r w:rsidR="00E048DE" w:rsidRPr="0030573B">
              <w:rPr>
                <w:rFonts w:ascii="Times New Roman" w:hAnsi="Times New Roman" w:cs="Times New Roman"/>
                <w:sz w:val="20"/>
                <w:szCs w:val="20"/>
              </w:rPr>
              <w:t xml:space="preserve"> </w:t>
            </w:r>
          </w:p>
        </w:tc>
        <w:tc>
          <w:tcPr>
            <w:tcW w:w="3690" w:type="dxa"/>
            <w:vAlign w:val="center"/>
          </w:tcPr>
          <w:p w14:paraId="3EB7E0CD" w14:textId="1C38C4F1" w:rsidR="00E048DE" w:rsidRPr="0030573B" w:rsidRDefault="005448F6" w:rsidP="004A7E40">
            <w:pPr>
              <w:rPr>
                <w:rFonts w:ascii="Times New Roman" w:hAnsi="Times New Roman" w:cs="Times New Roman"/>
                <w:sz w:val="20"/>
                <w:szCs w:val="20"/>
              </w:rPr>
            </w:pPr>
            <w:r w:rsidRPr="00752D41">
              <w:rPr>
                <w:rFonts w:ascii="Times New Roman" w:hAnsi="Times New Roman" w:cs="Times New Roman"/>
                <w:sz w:val="20"/>
                <w:szCs w:val="20"/>
              </w:rPr>
              <w:t>To foster the use of beneficial environmental projects as part of enforcement actions, Congress should specifically authorize agencies to spend penalty monies received rather than require deposit into the U.S. Treasury; alternatively, federal agencies should strengthen the non-punitive, remedial purpose of projects by: 1) identifying the harms caused by violations more clearly through upfront investment in experts, research, and modeling; 2) explaining in settlement documents the connection between identified harms and proposed projects; and 3) establishing an inter-agency work</w:t>
            </w:r>
            <w:r w:rsidR="004A7E40" w:rsidRPr="00752D41">
              <w:rPr>
                <w:rFonts w:ascii="Times New Roman" w:hAnsi="Times New Roman" w:cs="Times New Roman"/>
                <w:sz w:val="20"/>
                <w:szCs w:val="20"/>
              </w:rPr>
              <w:t>group to discuss best practices.</w:t>
            </w:r>
          </w:p>
        </w:tc>
      </w:tr>
      <w:tr w:rsidR="00E048DE" w:rsidRPr="0030573B" w14:paraId="6B1AC5FA" w14:textId="77777777" w:rsidTr="00A07838">
        <w:trPr>
          <w:cantSplit/>
        </w:trPr>
        <w:tc>
          <w:tcPr>
            <w:tcW w:w="1435" w:type="dxa"/>
            <w:vAlign w:val="center"/>
          </w:tcPr>
          <w:p w14:paraId="11C7A82F" w14:textId="5CD04B3E" w:rsidR="00E048DE" w:rsidRPr="0030573B" w:rsidRDefault="00E048DE" w:rsidP="00E048DE">
            <w:pPr>
              <w:jc w:val="center"/>
              <w:rPr>
                <w:rFonts w:ascii="Times New Roman" w:hAnsi="Times New Roman" w:cs="Times New Roman"/>
                <w:sz w:val="20"/>
                <w:szCs w:val="20"/>
              </w:rPr>
            </w:pPr>
            <w:r w:rsidRPr="0030573B">
              <w:rPr>
                <w:rFonts w:ascii="Times New Roman" w:eastAsia="Times New Roman" w:hAnsi="Times New Roman" w:cs="Times New Roman"/>
                <w:color w:val="000000"/>
                <w:sz w:val="20"/>
                <w:szCs w:val="20"/>
              </w:rPr>
              <w:t>Klass, Alexandra B.</w:t>
            </w:r>
          </w:p>
        </w:tc>
        <w:tc>
          <w:tcPr>
            <w:tcW w:w="1643" w:type="dxa"/>
            <w:vAlign w:val="center"/>
          </w:tcPr>
          <w:p w14:paraId="338BCFB1" w14:textId="65B1C9C9" w:rsidR="00E048DE" w:rsidRPr="0030573B" w:rsidRDefault="0029477C" w:rsidP="00E048DE">
            <w:pPr>
              <w:jc w:val="center"/>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Eminent Domain Law a</w:t>
            </w:r>
            <w:r w:rsidR="00E048DE" w:rsidRPr="0030573B">
              <w:rPr>
                <w:rFonts w:ascii="Times New Roman" w:eastAsia="Times New Roman" w:hAnsi="Times New Roman" w:cs="Times New Roman"/>
                <w:i/>
                <w:color w:val="000000"/>
                <w:sz w:val="20"/>
                <w:szCs w:val="20"/>
              </w:rPr>
              <w:t>s Climate Policy</w:t>
            </w:r>
          </w:p>
        </w:tc>
        <w:tc>
          <w:tcPr>
            <w:tcW w:w="2160" w:type="dxa"/>
            <w:vAlign w:val="center"/>
          </w:tcPr>
          <w:p w14:paraId="73FEBC9C" w14:textId="77777777" w:rsidR="00E048DE" w:rsidRDefault="00E048DE" w:rsidP="00E048DE">
            <w:pPr>
              <w:autoSpaceDE w:val="0"/>
              <w:autoSpaceDN w:val="0"/>
              <w:adjustRightInd w:val="0"/>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2020 WIS. L. REV. 49</w:t>
            </w:r>
          </w:p>
          <w:p w14:paraId="44958928" w14:textId="77777777" w:rsidR="00E920DE" w:rsidRDefault="00E920DE" w:rsidP="00E048DE">
            <w:pPr>
              <w:autoSpaceDE w:val="0"/>
              <w:autoSpaceDN w:val="0"/>
              <w:adjustRightInd w:val="0"/>
              <w:jc w:val="center"/>
              <w:rPr>
                <w:rFonts w:ascii="Times New Roman" w:eastAsia="Times New Roman" w:hAnsi="Times New Roman" w:cs="Times New Roman"/>
                <w:color w:val="000000"/>
                <w:sz w:val="20"/>
                <w:szCs w:val="20"/>
              </w:rPr>
            </w:pPr>
          </w:p>
          <w:p w14:paraId="15AB911F" w14:textId="37BB8EE9" w:rsidR="00E920DE" w:rsidRPr="0030573B" w:rsidRDefault="00D2267C" w:rsidP="00E048DE">
            <w:pPr>
              <w:autoSpaceDE w:val="0"/>
              <w:autoSpaceDN w:val="0"/>
              <w:adjustRightInd w:val="0"/>
              <w:jc w:val="center"/>
              <w:rPr>
                <w:rFonts w:ascii="Times New Roman" w:hAnsi="Times New Roman" w:cs="Times New Roman"/>
                <w:sz w:val="20"/>
                <w:szCs w:val="20"/>
              </w:rPr>
            </w:pPr>
            <w:hyperlink r:id="rId11" w:history="1">
              <w:r w:rsidR="00E920DE" w:rsidRPr="00E920DE">
                <w:rPr>
                  <w:rStyle w:val="Hyperlink"/>
                  <w:rFonts w:ascii="Times New Roman" w:eastAsia="Times New Roman" w:hAnsi="Times New Roman" w:cs="Times New Roman"/>
                  <w:sz w:val="20"/>
                  <w:szCs w:val="20"/>
                </w:rPr>
                <w:t>http://repository.law.wisc.edu/s/uwlaw/media/303591</w:t>
              </w:r>
            </w:hyperlink>
          </w:p>
        </w:tc>
        <w:tc>
          <w:tcPr>
            <w:tcW w:w="1980" w:type="dxa"/>
            <w:vAlign w:val="center"/>
          </w:tcPr>
          <w:p w14:paraId="71EB013D" w14:textId="25E33C65" w:rsidR="00E048DE" w:rsidRPr="0030573B" w:rsidRDefault="006344AF" w:rsidP="00E048DE">
            <w:pPr>
              <w:jc w:val="center"/>
              <w:rPr>
                <w:rFonts w:ascii="Times New Roman" w:hAnsi="Times New Roman" w:cs="Times New Roman"/>
                <w:sz w:val="20"/>
                <w:szCs w:val="20"/>
              </w:rPr>
            </w:pPr>
            <w:r>
              <w:rPr>
                <w:rFonts w:ascii="Times New Roman" w:hAnsi="Times New Roman" w:cs="Times New Roman"/>
                <w:sz w:val="20"/>
                <w:szCs w:val="20"/>
              </w:rPr>
              <w:t>Climate Change</w:t>
            </w:r>
          </w:p>
        </w:tc>
        <w:tc>
          <w:tcPr>
            <w:tcW w:w="3690" w:type="dxa"/>
            <w:vAlign w:val="center"/>
          </w:tcPr>
          <w:p w14:paraId="5F9B7D17" w14:textId="7D10F7B7" w:rsidR="00E048DE" w:rsidRPr="0030573B" w:rsidRDefault="004A03C5" w:rsidP="00E048DE">
            <w:pPr>
              <w:rPr>
                <w:rFonts w:ascii="Times New Roman" w:hAnsi="Times New Roman" w:cs="Times New Roman"/>
                <w:sz w:val="20"/>
                <w:szCs w:val="20"/>
              </w:rPr>
            </w:pPr>
            <w:r w:rsidRPr="004A03C5">
              <w:rPr>
                <w:rFonts w:ascii="Times New Roman" w:hAnsi="Times New Roman" w:cs="Times New Roman"/>
                <w:sz w:val="20"/>
                <w:szCs w:val="20"/>
              </w:rPr>
              <w:t>States that adopt aggressive clean energy laws should simultaneously reform their eminent domain laws—by reducing or eliminating eminent domain rights for fossil fuel projects and expanding eminent domain rights for clean energy projects—to disincentivize fossil fuel energy projects and promote clean energy projects</w:t>
            </w:r>
            <w:r>
              <w:rPr>
                <w:rFonts w:ascii="Times New Roman" w:hAnsi="Times New Roman" w:cs="Times New Roman"/>
                <w:sz w:val="20"/>
                <w:szCs w:val="20"/>
              </w:rPr>
              <w:t xml:space="preserve">. </w:t>
            </w:r>
          </w:p>
        </w:tc>
      </w:tr>
      <w:tr w:rsidR="00E048DE" w:rsidRPr="0030573B" w14:paraId="12577BAC" w14:textId="77777777" w:rsidTr="00A07838">
        <w:trPr>
          <w:cantSplit/>
        </w:trPr>
        <w:tc>
          <w:tcPr>
            <w:tcW w:w="1435" w:type="dxa"/>
            <w:vAlign w:val="center"/>
          </w:tcPr>
          <w:p w14:paraId="7D29F3DD" w14:textId="451B2706" w:rsidR="00E048DE" w:rsidRPr="0030573B" w:rsidRDefault="00E048DE" w:rsidP="00E048DE">
            <w:pPr>
              <w:jc w:val="center"/>
              <w:rPr>
                <w:rFonts w:ascii="Times New Roman" w:hAnsi="Times New Roman" w:cs="Times New Roman"/>
                <w:sz w:val="20"/>
                <w:szCs w:val="20"/>
              </w:rPr>
            </w:pPr>
            <w:r w:rsidRPr="0030573B">
              <w:rPr>
                <w:rFonts w:ascii="Times New Roman" w:eastAsia="Times New Roman" w:hAnsi="Times New Roman" w:cs="Times New Roman"/>
                <w:sz w:val="20"/>
                <w:szCs w:val="20"/>
              </w:rPr>
              <w:t>Kousky, Carolyn</w:t>
            </w:r>
            <w:r w:rsidR="00511A1A">
              <w:rPr>
                <w:rFonts w:ascii="Times New Roman" w:eastAsia="Times New Roman" w:hAnsi="Times New Roman" w:cs="Times New Roman"/>
                <w:sz w:val="20"/>
                <w:szCs w:val="20"/>
              </w:rPr>
              <w:t>, and Sarah Light</w:t>
            </w:r>
          </w:p>
        </w:tc>
        <w:tc>
          <w:tcPr>
            <w:tcW w:w="1643" w:type="dxa"/>
            <w:vAlign w:val="center"/>
          </w:tcPr>
          <w:p w14:paraId="4D7D62CA" w14:textId="2327F23F" w:rsidR="00E048DE" w:rsidRPr="0030573B" w:rsidRDefault="00E048DE" w:rsidP="00E048DE">
            <w:pPr>
              <w:jc w:val="center"/>
              <w:rPr>
                <w:rFonts w:ascii="Times New Roman" w:eastAsia="Times New Roman" w:hAnsi="Times New Roman" w:cs="Times New Roman"/>
                <w:i/>
                <w:sz w:val="20"/>
                <w:szCs w:val="20"/>
              </w:rPr>
            </w:pPr>
            <w:r w:rsidRPr="0030573B">
              <w:rPr>
                <w:rFonts w:ascii="Times New Roman" w:eastAsia="Times New Roman" w:hAnsi="Times New Roman" w:cs="Times New Roman"/>
                <w:i/>
                <w:sz w:val="20"/>
                <w:szCs w:val="20"/>
              </w:rPr>
              <w:t>Insuring Nature</w:t>
            </w:r>
          </w:p>
        </w:tc>
        <w:tc>
          <w:tcPr>
            <w:tcW w:w="2160" w:type="dxa"/>
            <w:vAlign w:val="center"/>
          </w:tcPr>
          <w:p w14:paraId="73125CC0" w14:textId="2379CB72" w:rsidR="00E048DE" w:rsidRDefault="00E048DE" w:rsidP="00E048DE">
            <w:pPr>
              <w:jc w:val="center"/>
              <w:rPr>
                <w:rFonts w:ascii="Times New Roman" w:eastAsia="Times New Roman" w:hAnsi="Times New Roman" w:cs="Times New Roman"/>
                <w:sz w:val="20"/>
                <w:szCs w:val="20"/>
              </w:rPr>
            </w:pPr>
            <w:r w:rsidRPr="0030573B">
              <w:rPr>
                <w:rFonts w:ascii="Times New Roman" w:eastAsia="Times New Roman" w:hAnsi="Times New Roman" w:cs="Times New Roman"/>
                <w:sz w:val="20"/>
                <w:szCs w:val="20"/>
              </w:rPr>
              <w:t>69 DUKE L.J. 323</w:t>
            </w:r>
          </w:p>
          <w:p w14:paraId="127EA45E" w14:textId="77777777" w:rsidR="00FB5F7F" w:rsidRDefault="00FB5F7F" w:rsidP="00E048DE">
            <w:pPr>
              <w:jc w:val="center"/>
              <w:rPr>
                <w:rFonts w:ascii="Times New Roman" w:eastAsia="Times New Roman" w:hAnsi="Times New Roman" w:cs="Times New Roman"/>
                <w:sz w:val="20"/>
                <w:szCs w:val="20"/>
              </w:rPr>
            </w:pPr>
          </w:p>
          <w:p w14:paraId="5E43C2D0" w14:textId="128EE0A2" w:rsidR="00FB5F7F" w:rsidRPr="0030573B" w:rsidRDefault="00D2267C" w:rsidP="00E048DE">
            <w:pPr>
              <w:jc w:val="center"/>
              <w:rPr>
                <w:rFonts w:ascii="Times New Roman" w:eastAsia="Times New Roman" w:hAnsi="Times New Roman" w:cs="Times New Roman"/>
                <w:sz w:val="20"/>
                <w:szCs w:val="20"/>
              </w:rPr>
            </w:pPr>
            <w:hyperlink r:id="rId12" w:history="1">
              <w:r w:rsidR="00FB5F7F" w:rsidRPr="00FB5F7F">
                <w:rPr>
                  <w:rStyle w:val="Hyperlink"/>
                  <w:rFonts w:ascii="Times New Roman" w:eastAsia="Times New Roman" w:hAnsi="Times New Roman" w:cs="Times New Roman"/>
                  <w:sz w:val="20"/>
                  <w:szCs w:val="20"/>
                </w:rPr>
                <w:t>https://scholarship.law.duke.edu/cgi/viewcontent.cgi?article=3996&amp;context=dlj</w:t>
              </w:r>
            </w:hyperlink>
            <w:r w:rsidR="00FB5F7F" w:rsidRPr="00FB5F7F">
              <w:rPr>
                <w:rFonts w:ascii="Times New Roman" w:eastAsia="Times New Roman" w:hAnsi="Times New Roman" w:cs="Times New Roman"/>
                <w:sz w:val="20"/>
                <w:szCs w:val="20"/>
                <w:u w:val="single"/>
              </w:rPr>
              <w:br/>
            </w:r>
          </w:p>
        </w:tc>
        <w:tc>
          <w:tcPr>
            <w:tcW w:w="1980" w:type="dxa"/>
            <w:vAlign w:val="center"/>
          </w:tcPr>
          <w:p w14:paraId="689580D3" w14:textId="185DDA1B" w:rsidR="00E048DE" w:rsidRPr="004A7E40" w:rsidRDefault="00FB5F7F" w:rsidP="00E048DE">
            <w:pPr>
              <w:jc w:val="center"/>
              <w:rPr>
                <w:rFonts w:ascii="Times New Roman" w:hAnsi="Times New Roman" w:cs="Times New Roman"/>
                <w:sz w:val="20"/>
                <w:szCs w:val="20"/>
                <w:highlight w:val="yellow"/>
              </w:rPr>
            </w:pPr>
            <w:r w:rsidRPr="00105355">
              <w:rPr>
                <w:rFonts w:ascii="Times New Roman" w:hAnsi="Times New Roman" w:cs="Times New Roman"/>
                <w:sz w:val="20"/>
                <w:szCs w:val="20"/>
              </w:rPr>
              <w:t>Governance</w:t>
            </w:r>
            <w:r w:rsidR="004A7E40" w:rsidRPr="00105355">
              <w:rPr>
                <w:rFonts w:ascii="Times New Roman" w:hAnsi="Times New Roman" w:cs="Times New Roman"/>
                <w:sz w:val="20"/>
                <w:szCs w:val="20"/>
              </w:rPr>
              <w:t>/Climate Change</w:t>
            </w:r>
          </w:p>
        </w:tc>
        <w:tc>
          <w:tcPr>
            <w:tcW w:w="3690" w:type="dxa"/>
            <w:vAlign w:val="center"/>
          </w:tcPr>
          <w:p w14:paraId="4A7C01A2" w14:textId="284F147B" w:rsidR="00E048DE" w:rsidRPr="0030573B" w:rsidRDefault="00FB5F7F" w:rsidP="00E048DE">
            <w:pPr>
              <w:rPr>
                <w:rFonts w:ascii="Times New Roman" w:hAnsi="Times New Roman" w:cs="Times New Roman"/>
                <w:sz w:val="20"/>
                <w:szCs w:val="20"/>
              </w:rPr>
            </w:pPr>
            <w:r w:rsidRPr="00FB5F7F">
              <w:rPr>
                <w:rFonts w:ascii="Times New Roman" w:hAnsi="Times New Roman" w:cs="Times New Roman"/>
                <w:sz w:val="20"/>
                <w:szCs w:val="20"/>
              </w:rPr>
              <w:t>Insurance can be a valuable instrument to promote ecosystem restoration and conservation in situations in which: (1) a party has an insurable interest, (2) parties are willing to pay the premium associated with insurance, (3) the ecosystem is threated by random severe peril, (4) the ecosystem can be restored by action funded by an immediate infusion of post-disaster cash, and (5) insurance is cost-effective compared to other mechanisms.</w:t>
            </w:r>
          </w:p>
        </w:tc>
      </w:tr>
      <w:tr w:rsidR="00E048DE" w:rsidRPr="0030573B" w14:paraId="58894440" w14:textId="77777777" w:rsidTr="00A07838">
        <w:trPr>
          <w:cantSplit/>
        </w:trPr>
        <w:tc>
          <w:tcPr>
            <w:tcW w:w="1435" w:type="dxa"/>
            <w:vAlign w:val="center"/>
          </w:tcPr>
          <w:p w14:paraId="7D17970F" w14:textId="0BC27C5F" w:rsidR="00E048DE" w:rsidRPr="0030573B" w:rsidRDefault="00E048DE" w:rsidP="00E048DE">
            <w:pPr>
              <w:jc w:val="center"/>
              <w:rPr>
                <w:rFonts w:ascii="Times New Roman" w:hAnsi="Times New Roman" w:cs="Times New Roman"/>
                <w:color w:val="000000"/>
                <w:sz w:val="20"/>
                <w:szCs w:val="20"/>
              </w:rPr>
            </w:pPr>
            <w:r w:rsidRPr="0030573B">
              <w:rPr>
                <w:rFonts w:ascii="Times New Roman" w:hAnsi="Times New Roman" w:cs="Times New Roman"/>
                <w:color w:val="000000"/>
                <w:sz w:val="20"/>
                <w:szCs w:val="20"/>
              </w:rPr>
              <w:t>Lee, Charles</w:t>
            </w:r>
          </w:p>
          <w:p w14:paraId="41302477" w14:textId="2E07D232" w:rsidR="00E048DE" w:rsidRPr="0030573B" w:rsidRDefault="00E048DE" w:rsidP="00E048DE">
            <w:pPr>
              <w:jc w:val="center"/>
              <w:rPr>
                <w:rFonts w:ascii="Times New Roman" w:hAnsi="Times New Roman" w:cs="Times New Roman"/>
                <w:sz w:val="20"/>
                <w:szCs w:val="20"/>
              </w:rPr>
            </w:pPr>
          </w:p>
        </w:tc>
        <w:tc>
          <w:tcPr>
            <w:tcW w:w="1643" w:type="dxa"/>
            <w:vAlign w:val="center"/>
          </w:tcPr>
          <w:p w14:paraId="63993AA9" w14:textId="24A446E1" w:rsidR="00E048DE" w:rsidRPr="0030573B" w:rsidRDefault="0029477C" w:rsidP="00E048D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A Game Changer i</w:t>
            </w:r>
            <w:r w:rsidR="00E048DE" w:rsidRPr="0030573B">
              <w:rPr>
                <w:rFonts w:ascii="Times New Roman" w:hAnsi="Times New Roman" w:cs="Times New Roman"/>
                <w:i/>
                <w:color w:val="000000"/>
                <w:sz w:val="20"/>
                <w:szCs w:val="20"/>
              </w:rPr>
              <w:t>n The Making? Lessons From States Advancing Enviro</w:t>
            </w:r>
            <w:r>
              <w:rPr>
                <w:rFonts w:ascii="Times New Roman" w:hAnsi="Times New Roman" w:cs="Times New Roman"/>
                <w:i/>
                <w:color w:val="000000"/>
                <w:sz w:val="20"/>
                <w:szCs w:val="20"/>
              </w:rPr>
              <w:t>nmental Justice Through Mapping a</w:t>
            </w:r>
            <w:r w:rsidR="00E048DE" w:rsidRPr="0030573B">
              <w:rPr>
                <w:rFonts w:ascii="Times New Roman" w:hAnsi="Times New Roman" w:cs="Times New Roman"/>
                <w:i/>
                <w:color w:val="000000"/>
                <w:sz w:val="20"/>
                <w:szCs w:val="20"/>
              </w:rPr>
              <w:t>nd Cumulative Impact Strategies </w:t>
            </w:r>
          </w:p>
          <w:p w14:paraId="6EF3BECC" w14:textId="5E3648F1" w:rsidR="00E048DE" w:rsidRPr="0030573B" w:rsidRDefault="00E048DE" w:rsidP="00E048DE">
            <w:pPr>
              <w:jc w:val="center"/>
              <w:rPr>
                <w:rFonts w:ascii="Times New Roman" w:hAnsi="Times New Roman" w:cs="Times New Roman"/>
                <w:i/>
                <w:sz w:val="20"/>
                <w:szCs w:val="20"/>
              </w:rPr>
            </w:pPr>
          </w:p>
        </w:tc>
        <w:tc>
          <w:tcPr>
            <w:tcW w:w="2160" w:type="dxa"/>
            <w:vAlign w:val="center"/>
          </w:tcPr>
          <w:p w14:paraId="57D4E472" w14:textId="6C980CE5" w:rsidR="005448F6" w:rsidRDefault="005448F6" w:rsidP="00E048DE">
            <w:pPr>
              <w:jc w:val="center"/>
              <w:rPr>
                <w:rFonts w:ascii="Times" w:hAnsi="Times" w:cs="Times New Roman"/>
                <w:color w:val="000000" w:themeColor="text1"/>
                <w:sz w:val="20"/>
                <w:szCs w:val="20"/>
              </w:rPr>
            </w:pPr>
            <w:r w:rsidRPr="005448F6">
              <w:rPr>
                <w:rFonts w:ascii="Times" w:hAnsi="Times" w:cs="Times New Roman"/>
                <w:color w:val="000000" w:themeColor="text1"/>
                <w:sz w:val="20"/>
                <w:szCs w:val="20"/>
              </w:rPr>
              <w:t>50 ENVTL. L. REP. 10203</w:t>
            </w:r>
            <w:r w:rsidR="00311B78">
              <w:rPr>
                <w:rFonts w:ascii="Times" w:hAnsi="Times" w:cs="Times New Roman"/>
                <w:color w:val="000000" w:themeColor="text1"/>
                <w:sz w:val="20"/>
                <w:szCs w:val="20"/>
              </w:rPr>
              <w:t xml:space="preserve"> (2020)</w:t>
            </w:r>
          </w:p>
          <w:p w14:paraId="2033A754" w14:textId="77777777" w:rsidR="00FA70DB" w:rsidRPr="005448F6" w:rsidRDefault="00FA70DB" w:rsidP="00E048DE">
            <w:pPr>
              <w:jc w:val="center"/>
              <w:rPr>
                <w:rFonts w:ascii="Times New Roman" w:eastAsia="Times New Roman" w:hAnsi="Times New Roman" w:cs="Times New Roman"/>
                <w:sz w:val="20"/>
                <w:szCs w:val="20"/>
              </w:rPr>
            </w:pPr>
          </w:p>
          <w:p w14:paraId="218D8E00" w14:textId="483C9960" w:rsidR="00E048DE" w:rsidRDefault="00D2267C" w:rsidP="00E048DE">
            <w:pPr>
              <w:jc w:val="center"/>
              <w:rPr>
                <w:rFonts w:ascii="Times New Roman" w:eastAsia="Times New Roman" w:hAnsi="Times New Roman" w:cs="Times New Roman"/>
                <w:sz w:val="20"/>
                <w:szCs w:val="20"/>
              </w:rPr>
            </w:pPr>
            <w:hyperlink r:id="rId13" w:history="1">
              <w:r w:rsidR="005448F6" w:rsidRPr="00FA4AB6">
                <w:rPr>
                  <w:rStyle w:val="Hyperlink"/>
                  <w:rFonts w:ascii="Times New Roman" w:eastAsia="Times New Roman" w:hAnsi="Times New Roman" w:cs="Times New Roman"/>
                  <w:sz w:val="20"/>
                  <w:szCs w:val="20"/>
                </w:rPr>
                <w:t>https://heinonline.org/hol/landingpage?handle=hein.journals/elrna50&amp;div=29&amp;id=&amp;page</w:t>
              </w:r>
            </w:hyperlink>
            <w:r w:rsidR="005448F6" w:rsidRPr="0030573B">
              <w:rPr>
                <w:rFonts w:ascii="Times New Roman" w:eastAsia="Times New Roman" w:hAnsi="Times New Roman" w:cs="Times New Roman"/>
                <w:sz w:val="20"/>
                <w:szCs w:val="20"/>
              </w:rPr>
              <w:t>=</w:t>
            </w:r>
          </w:p>
          <w:p w14:paraId="17EB8296" w14:textId="4D85D01C" w:rsidR="005448F6" w:rsidRPr="0030573B" w:rsidRDefault="005448F6" w:rsidP="00E048DE">
            <w:pPr>
              <w:jc w:val="center"/>
              <w:rPr>
                <w:rFonts w:ascii="Times New Roman" w:eastAsia="Times New Roman" w:hAnsi="Times New Roman" w:cs="Times New Roman"/>
                <w:sz w:val="20"/>
                <w:szCs w:val="20"/>
              </w:rPr>
            </w:pPr>
          </w:p>
        </w:tc>
        <w:tc>
          <w:tcPr>
            <w:tcW w:w="1980" w:type="dxa"/>
            <w:vAlign w:val="center"/>
          </w:tcPr>
          <w:p w14:paraId="40FD6C50" w14:textId="375ADB2A" w:rsidR="00E048DE" w:rsidRPr="0030573B" w:rsidRDefault="006344AF" w:rsidP="00E048DE">
            <w:pPr>
              <w:jc w:val="center"/>
              <w:rPr>
                <w:rFonts w:ascii="Times New Roman" w:hAnsi="Times New Roman" w:cs="Times New Roman"/>
                <w:sz w:val="20"/>
                <w:szCs w:val="20"/>
              </w:rPr>
            </w:pPr>
            <w:r>
              <w:rPr>
                <w:rFonts w:ascii="Times New Roman" w:hAnsi="Times New Roman" w:cs="Times New Roman"/>
                <w:sz w:val="20"/>
                <w:szCs w:val="20"/>
              </w:rPr>
              <w:t>Governance</w:t>
            </w:r>
          </w:p>
        </w:tc>
        <w:tc>
          <w:tcPr>
            <w:tcW w:w="3690" w:type="dxa"/>
            <w:vAlign w:val="center"/>
          </w:tcPr>
          <w:p w14:paraId="55311F44" w14:textId="3E5DC3E0" w:rsidR="00E048DE" w:rsidRPr="0030573B" w:rsidRDefault="00BC575D" w:rsidP="00E048DE">
            <w:pPr>
              <w:rPr>
                <w:rFonts w:ascii="Times New Roman" w:hAnsi="Times New Roman" w:cs="Times New Roman"/>
                <w:sz w:val="20"/>
                <w:szCs w:val="20"/>
              </w:rPr>
            </w:pPr>
            <w:r w:rsidRPr="00BC575D">
              <w:rPr>
                <w:rFonts w:ascii="Times New Roman" w:hAnsi="Times New Roman" w:cs="Times New Roman"/>
                <w:sz w:val="20"/>
                <w:szCs w:val="20"/>
              </w:rPr>
              <w:t xml:space="preserve">CalEPA and EPA’s successful environmental justice mapping tools, which use quantitative data sets to identify and characterize vulnerable communities disproportionately burdened by multiple pollution sources, provide an easily replicable roadmap for states and localities looking to incorporate environmental justice concerns into public policy by systematically devoting resources of scale to overburdened and vulnerable communities, an imperative now being championed by the new Biden Administration, and addressing land use planning, facility siting and permitting issues. </w:t>
            </w:r>
          </w:p>
        </w:tc>
      </w:tr>
      <w:tr w:rsidR="00E048DE" w:rsidRPr="0030573B" w14:paraId="51408CD5" w14:textId="77777777" w:rsidTr="00A07838">
        <w:trPr>
          <w:cantSplit/>
        </w:trPr>
        <w:tc>
          <w:tcPr>
            <w:tcW w:w="1435" w:type="dxa"/>
            <w:vAlign w:val="center"/>
          </w:tcPr>
          <w:p w14:paraId="7F94189E" w14:textId="799F0D96" w:rsidR="00E048DE" w:rsidRPr="0030573B" w:rsidRDefault="00E048DE" w:rsidP="00E048DE">
            <w:pPr>
              <w:jc w:val="center"/>
              <w:rPr>
                <w:rFonts w:ascii="Times New Roman" w:hAnsi="Times New Roman" w:cs="Times New Roman"/>
                <w:color w:val="000000"/>
                <w:sz w:val="20"/>
                <w:szCs w:val="20"/>
              </w:rPr>
            </w:pPr>
            <w:r w:rsidRPr="0030573B">
              <w:rPr>
                <w:rFonts w:ascii="Times New Roman" w:hAnsi="Times New Roman" w:cs="Times New Roman"/>
                <w:color w:val="000000"/>
                <w:sz w:val="20"/>
                <w:szCs w:val="20"/>
              </w:rPr>
              <w:lastRenderedPageBreak/>
              <w:t xml:space="preserve">Leonard </w:t>
            </w:r>
            <w:r w:rsidR="00011BAD" w:rsidRPr="0030573B">
              <w:rPr>
                <w:rFonts w:ascii="Times New Roman" w:hAnsi="Times New Roman" w:cs="Times New Roman"/>
                <w:color w:val="000000"/>
                <w:sz w:val="20"/>
                <w:szCs w:val="20"/>
              </w:rPr>
              <w:t>III</w:t>
            </w:r>
            <w:r w:rsidRPr="0030573B">
              <w:rPr>
                <w:rFonts w:ascii="Times New Roman" w:hAnsi="Times New Roman" w:cs="Times New Roman"/>
                <w:color w:val="000000"/>
                <w:sz w:val="20"/>
                <w:szCs w:val="20"/>
              </w:rPr>
              <w:t>, Louis G.</w:t>
            </w:r>
          </w:p>
          <w:p w14:paraId="5AED3B75" w14:textId="0D0B24EC" w:rsidR="00E048DE" w:rsidRPr="0030573B" w:rsidRDefault="00E048DE" w:rsidP="00E048DE">
            <w:pPr>
              <w:jc w:val="center"/>
              <w:rPr>
                <w:rFonts w:ascii="Times New Roman" w:hAnsi="Times New Roman" w:cs="Times New Roman"/>
                <w:sz w:val="20"/>
                <w:szCs w:val="20"/>
              </w:rPr>
            </w:pPr>
          </w:p>
        </w:tc>
        <w:tc>
          <w:tcPr>
            <w:tcW w:w="1643" w:type="dxa"/>
            <w:vAlign w:val="center"/>
          </w:tcPr>
          <w:p w14:paraId="40F59697" w14:textId="5B32F6B2" w:rsidR="00E048DE" w:rsidRPr="0030573B" w:rsidRDefault="00E048DE" w:rsidP="00E048DE">
            <w:pPr>
              <w:jc w:val="center"/>
              <w:rPr>
                <w:rFonts w:ascii="Times New Roman" w:hAnsi="Times New Roman" w:cs="Times New Roman"/>
                <w:i/>
                <w:color w:val="000000"/>
                <w:sz w:val="20"/>
                <w:szCs w:val="20"/>
              </w:rPr>
            </w:pPr>
            <w:r w:rsidRPr="0030573B">
              <w:rPr>
                <w:rFonts w:ascii="Times New Roman" w:hAnsi="Times New Roman" w:cs="Times New Roman"/>
                <w:i/>
                <w:color w:val="000000"/>
                <w:sz w:val="20"/>
                <w:szCs w:val="20"/>
              </w:rPr>
              <w:t>Unde</w:t>
            </w:r>
            <w:r w:rsidR="0029477C">
              <w:rPr>
                <w:rFonts w:ascii="Times New Roman" w:hAnsi="Times New Roman" w:cs="Times New Roman"/>
                <w:i/>
                <w:color w:val="000000"/>
                <w:sz w:val="20"/>
                <w:szCs w:val="20"/>
              </w:rPr>
              <w:t>r The Radar: A Coherent System o</w:t>
            </w:r>
            <w:r w:rsidRPr="0030573B">
              <w:rPr>
                <w:rFonts w:ascii="Times New Roman" w:hAnsi="Times New Roman" w:cs="Times New Roman"/>
                <w:i/>
                <w:color w:val="000000"/>
                <w:sz w:val="20"/>
                <w:szCs w:val="20"/>
              </w:rPr>
              <w:t>f Clim</w:t>
            </w:r>
            <w:r w:rsidR="0029477C">
              <w:rPr>
                <w:rFonts w:ascii="Times New Roman" w:hAnsi="Times New Roman" w:cs="Times New Roman"/>
                <w:i/>
                <w:color w:val="000000"/>
                <w:sz w:val="20"/>
                <w:szCs w:val="20"/>
              </w:rPr>
              <w:t>ate Governance, Driven b</w:t>
            </w:r>
            <w:r w:rsidRPr="0030573B">
              <w:rPr>
                <w:rFonts w:ascii="Times New Roman" w:hAnsi="Times New Roman" w:cs="Times New Roman"/>
                <w:i/>
                <w:color w:val="000000"/>
                <w:sz w:val="20"/>
                <w:szCs w:val="20"/>
              </w:rPr>
              <w:t xml:space="preserve">y Business </w:t>
            </w:r>
          </w:p>
          <w:p w14:paraId="5A0EF010" w14:textId="086C61EE" w:rsidR="00E048DE" w:rsidRPr="0030573B" w:rsidRDefault="00E048DE" w:rsidP="00E048DE">
            <w:pPr>
              <w:jc w:val="center"/>
              <w:rPr>
                <w:rFonts w:ascii="Times New Roman" w:hAnsi="Times New Roman" w:cs="Times New Roman"/>
                <w:i/>
                <w:sz w:val="20"/>
                <w:szCs w:val="20"/>
              </w:rPr>
            </w:pPr>
          </w:p>
        </w:tc>
        <w:tc>
          <w:tcPr>
            <w:tcW w:w="2160" w:type="dxa"/>
            <w:vAlign w:val="center"/>
          </w:tcPr>
          <w:p w14:paraId="2BA63196" w14:textId="33CFEF04" w:rsidR="00311B78" w:rsidRDefault="00311B78" w:rsidP="00E048DE">
            <w:pPr>
              <w:jc w:val="center"/>
              <w:rPr>
                <w:rFonts w:ascii="Times New Roman" w:eastAsia="Times New Roman" w:hAnsi="Times New Roman" w:cs="Times New Roman"/>
                <w:sz w:val="20"/>
                <w:szCs w:val="20"/>
                <w:lang w:val="en"/>
              </w:rPr>
            </w:pPr>
            <w:r w:rsidRPr="00311B78">
              <w:rPr>
                <w:rFonts w:ascii="Times New Roman" w:eastAsia="Times New Roman" w:hAnsi="Times New Roman" w:cs="Times New Roman"/>
                <w:sz w:val="20"/>
                <w:szCs w:val="20"/>
                <w:lang w:val="en"/>
              </w:rPr>
              <w:t>50 ENVTL. L. REP. 10546</w:t>
            </w:r>
            <w:r>
              <w:rPr>
                <w:rFonts w:ascii="Times New Roman" w:eastAsia="Times New Roman" w:hAnsi="Times New Roman" w:cs="Times New Roman"/>
                <w:sz w:val="20"/>
                <w:szCs w:val="20"/>
                <w:lang w:val="en"/>
              </w:rPr>
              <w:t xml:space="preserve"> (2020)</w:t>
            </w:r>
          </w:p>
          <w:p w14:paraId="4B112A7E" w14:textId="77777777" w:rsidR="00FA70DB" w:rsidRDefault="00FA70DB" w:rsidP="00E048DE">
            <w:pPr>
              <w:jc w:val="center"/>
              <w:rPr>
                <w:rFonts w:ascii="Times New Roman" w:eastAsia="Times New Roman" w:hAnsi="Times New Roman" w:cs="Times New Roman"/>
                <w:sz w:val="20"/>
                <w:szCs w:val="20"/>
              </w:rPr>
            </w:pPr>
          </w:p>
          <w:p w14:paraId="5BE13159" w14:textId="105F1B47" w:rsidR="00E048DE" w:rsidRDefault="00D2267C" w:rsidP="00E048DE">
            <w:pPr>
              <w:jc w:val="center"/>
              <w:rPr>
                <w:rFonts w:ascii="Times New Roman" w:eastAsia="Times New Roman" w:hAnsi="Times New Roman" w:cs="Times New Roman"/>
                <w:sz w:val="20"/>
                <w:szCs w:val="20"/>
              </w:rPr>
            </w:pPr>
            <w:hyperlink r:id="rId14" w:history="1">
              <w:r w:rsidR="00311B78" w:rsidRPr="00FA4AB6">
                <w:rPr>
                  <w:rStyle w:val="Hyperlink"/>
                  <w:rFonts w:ascii="Times New Roman" w:eastAsia="Times New Roman" w:hAnsi="Times New Roman" w:cs="Times New Roman"/>
                  <w:sz w:val="20"/>
                  <w:szCs w:val="20"/>
                </w:rPr>
                <w:t>https://papers.ssrn.com/sol3/papers.cfm?abstract_id=3598219</w:t>
              </w:r>
            </w:hyperlink>
          </w:p>
          <w:p w14:paraId="0A1C799F" w14:textId="6B5FF905" w:rsidR="00311B78" w:rsidRPr="0030573B" w:rsidRDefault="00311B78" w:rsidP="00E048DE">
            <w:pPr>
              <w:jc w:val="center"/>
              <w:rPr>
                <w:rFonts w:ascii="Times New Roman" w:eastAsia="Times New Roman" w:hAnsi="Times New Roman" w:cs="Times New Roman"/>
                <w:sz w:val="20"/>
                <w:szCs w:val="20"/>
              </w:rPr>
            </w:pPr>
          </w:p>
        </w:tc>
        <w:tc>
          <w:tcPr>
            <w:tcW w:w="1980" w:type="dxa"/>
            <w:vAlign w:val="center"/>
          </w:tcPr>
          <w:p w14:paraId="01727A25" w14:textId="399A2B86" w:rsidR="00E048DE" w:rsidRPr="00105355" w:rsidRDefault="00311B78" w:rsidP="00E048DE">
            <w:pPr>
              <w:jc w:val="center"/>
              <w:rPr>
                <w:rFonts w:ascii="Times New Roman" w:hAnsi="Times New Roman" w:cs="Times New Roman"/>
                <w:sz w:val="20"/>
                <w:szCs w:val="20"/>
              </w:rPr>
            </w:pPr>
            <w:r w:rsidRPr="00105355">
              <w:rPr>
                <w:rFonts w:ascii="Times New Roman" w:hAnsi="Times New Roman" w:cs="Times New Roman"/>
                <w:sz w:val="20"/>
                <w:szCs w:val="20"/>
              </w:rPr>
              <w:t>Governance</w:t>
            </w:r>
            <w:r w:rsidR="004A7E40" w:rsidRPr="00105355">
              <w:rPr>
                <w:rFonts w:ascii="Times New Roman" w:hAnsi="Times New Roman" w:cs="Times New Roman"/>
                <w:sz w:val="20"/>
                <w:szCs w:val="20"/>
              </w:rPr>
              <w:t>/Climate Change</w:t>
            </w:r>
          </w:p>
        </w:tc>
        <w:tc>
          <w:tcPr>
            <w:tcW w:w="3690" w:type="dxa"/>
            <w:vAlign w:val="center"/>
          </w:tcPr>
          <w:p w14:paraId="1FC48575" w14:textId="657DC7F6" w:rsidR="00E048DE" w:rsidRPr="0030573B" w:rsidRDefault="00645540" w:rsidP="00277A32">
            <w:pPr>
              <w:rPr>
                <w:rFonts w:ascii="Times New Roman" w:hAnsi="Times New Roman" w:cs="Times New Roman"/>
                <w:sz w:val="20"/>
                <w:szCs w:val="20"/>
              </w:rPr>
            </w:pPr>
            <w:r w:rsidRPr="00645540">
              <w:rPr>
                <w:rFonts w:ascii="Times New Roman" w:hAnsi="Times New Roman" w:cs="Times New Roman"/>
                <w:sz w:val="20"/>
                <w:szCs w:val="20"/>
              </w:rPr>
              <w:t>Private efforts to address climate change constitute an effective governance system that can circumvent political polarization, while delivering results aligned with science-based emissions</w:t>
            </w:r>
            <w:r w:rsidR="00582473">
              <w:rPr>
                <w:rFonts w:ascii="Times New Roman" w:hAnsi="Times New Roman" w:cs="Times New Roman"/>
                <w:sz w:val="20"/>
                <w:szCs w:val="20"/>
              </w:rPr>
              <w:t xml:space="preserve"> </w:t>
            </w:r>
            <w:r w:rsidRPr="00645540">
              <w:rPr>
                <w:rFonts w:ascii="Times New Roman" w:hAnsi="Times New Roman" w:cs="Times New Roman"/>
                <w:sz w:val="20"/>
                <w:szCs w:val="20"/>
              </w:rPr>
              <w:t>trajectories,</w:t>
            </w:r>
            <w:r w:rsidRPr="00645540">
              <w:rPr>
                <w:rFonts w:ascii="Times New Roman" w:hAnsi="Times New Roman" w:cs="Times New Roman"/>
              </w:rPr>
              <w:t> </w:t>
            </w:r>
            <w:r w:rsidRPr="00645540">
              <w:rPr>
                <w:rFonts w:ascii="Times New Roman" w:hAnsi="Times New Roman" w:cs="Times New Roman"/>
                <w:sz w:val="20"/>
                <w:szCs w:val="20"/>
              </w:rPr>
              <w:t>if</w:t>
            </w:r>
            <w:r w:rsidRPr="00645540">
              <w:rPr>
                <w:rFonts w:ascii="Times New Roman" w:hAnsi="Times New Roman" w:cs="Times New Roman"/>
              </w:rPr>
              <w:t> </w:t>
            </w:r>
            <w:r w:rsidRPr="00645540">
              <w:rPr>
                <w:rFonts w:ascii="Times New Roman" w:hAnsi="Times New Roman" w:cs="Times New Roman"/>
                <w:sz w:val="20"/>
                <w:szCs w:val="20"/>
              </w:rPr>
              <w:t>stakeholders</w:t>
            </w:r>
            <w:r>
              <w:rPr>
                <w:rFonts w:ascii="Times New Roman" w:hAnsi="Times New Roman" w:cs="Times New Roman"/>
                <w:sz w:val="20"/>
                <w:szCs w:val="20"/>
              </w:rPr>
              <w:t xml:space="preserve">: </w:t>
            </w:r>
            <w:r w:rsidRPr="00645540">
              <w:rPr>
                <w:rFonts w:ascii="Times New Roman" w:hAnsi="Times New Roman" w:cs="Times New Roman"/>
                <w:sz w:val="20"/>
                <w:szCs w:val="20"/>
              </w:rPr>
              <w:t>a) advance a collective research agenda aligned with high-level and sector-based roadmaps; b) explore how to ensure accountability; c) foster sustainable funding and business models; and d) design federal policies that accelerate private actions.</w:t>
            </w:r>
          </w:p>
        </w:tc>
      </w:tr>
      <w:tr w:rsidR="00E048DE" w:rsidRPr="0030573B" w14:paraId="4F6677D1" w14:textId="77777777" w:rsidTr="00A07838">
        <w:trPr>
          <w:cantSplit/>
        </w:trPr>
        <w:tc>
          <w:tcPr>
            <w:tcW w:w="1435" w:type="dxa"/>
            <w:vAlign w:val="center"/>
          </w:tcPr>
          <w:p w14:paraId="250C2F35" w14:textId="47207F03" w:rsidR="00E048DE" w:rsidRPr="0030573B" w:rsidRDefault="00E048DE" w:rsidP="00E048DE">
            <w:pPr>
              <w:jc w:val="center"/>
              <w:rPr>
                <w:rFonts w:ascii="Times New Roman" w:hAnsi="Times New Roman" w:cs="Times New Roman"/>
                <w:sz w:val="20"/>
                <w:szCs w:val="20"/>
              </w:rPr>
            </w:pPr>
            <w:r w:rsidRPr="0030573B">
              <w:rPr>
                <w:rFonts w:ascii="Times New Roman" w:eastAsia="Times New Roman" w:hAnsi="Times New Roman" w:cs="Times New Roman"/>
                <w:color w:val="000000"/>
                <w:sz w:val="20"/>
                <w:szCs w:val="20"/>
              </w:rPr>
              <w:t>Macey, Joshua C.</w:t>
            </w:r>
          </w:p>
        </w:tc>
        <w:tc>
          <w:tcPr>
            <w:tcW w:w="1643" w:type="dxa"/>
            <w:vAlign w:val="center"/>
          </w:tcPr>
          <w:p w14:paraId="5F7BC391" w14:textId="1CA3BD4A" w:rsidR="00E048DE" w:rsidRPr="0030573B" w:rsidRDefault="00E048DE" w:rsidP="00E048DE">
            <w:pPr>
              <w:jc w:val="center"/>
              <w:rPr>
                <w:rFonts w:ascii="Times New Roman" w:hAnsi="Times New Roman" w:cs="Times New Roman"/>
                <w:i/>
                <w:sz w:val="20"/>
                <w:szCs w:val="20"/>
              </w:rPr>
            </w:pPr>
            <w:r w:rsidRPr="0030573B">
              <w:rPr>
                <w:rFonts w:ascii="Times New Roman" w:eastAsia="Times New Roman" w:hAnsi="Times New Roman" w:cs="Times New Roman"/>
                <w:i/>
                <w:color w:val="000000"/>
                <w:sz w:val="20"/>
                <w:szCs w:val="20"/>
              </w:rPr>
              <w:t>Zombie Energy Laws</w:t>
            </w:r>
          </w:p>
        </w:tc>
        <w:tc>
          <w:tcPr>
            <w:tcW w:w="2160" w:type="dxa"/>
            <w:vAlign w:val="center"/>
          </w:tcPr>
          <w:p w14:paraId="313A241F" w14:textId="09F33742" w:rsidR="00E048DE" w:rsidRDefault="00E048DE" w:rsidP="00E048DE">
            <w:pPr>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73 VAND. L. REV. 1077 (2020)</w:t>
            </w:r>
          </w:p>
          <w:p w14:paraId="529B887C" w14:textId="77777777" w:rsidR="00FA70DB" w:rsidRDefault="00FA70DB" w:rsidP="00E048DE">
            <w:pPr>
              <w:jc w:val="center"/>
              <w:rPr>
                <w:rFonts w:ascii="Times New Roman" w:eastAsia="Times New Roman" w:hAnsi="Times New Roman" w:cs="Times New Roman"/>
                <w:color w:val="000000"/>
                <w:sz w:val="20"/>
                <w:szCs w:val="20"/>
              </w:rPr>
            </w:pPr>
          </w:p>
          <w:p w14:paraId="2A0A7E2C" w14:textId="6EA43A23" w:rsidR="00FA70DB" w:rsidRPr="0030573B" w:rsidRDefault="00D2267C" w:rsidP="00E048DE">
            <w:pPr>
              <w:jc w:val="center"/>
              <w:rPr>
                <w:rFonts w:ascii="Times New Roman" w:eastAsia="Times New Roman" w:hAnsi="Times New Roman" w:cs="Times New Roman"/>
                <w:sz w:val="20"/>
                <w:szCs w:val="20"/>
              </w:rPr>
            </w:pPr>
            <w:hyperlink r:id="rId15" w:history="1">
              <w:r w:rsidR="00FA70DB" w:rsidRPr="00FA70DB">
                <w:rPr>
                  <w:rStyle w:val="Hyperlink"/>
                  <w:rFonts w:ascii="Times New Roman" w:eastAsia="Times New Roman" w:hAnsi="Times New Roman" w:cs="Times New Roman"/>
                  <w:sz w:val="20"/>
                  <w:szCs w:val="20"/>
                </w:rPr>
                <w:t>https://bit.ly/3kM81XI</w:t>
              </w:r>
            </w:hyperlink>
          </w:p>
        </w:tc>
        <w:tc>
          <w:tcPr>
            <w:tcW w:w="1980" w:type="dxa"/>
            <w:vAlign w:val="center"/>
          </w:tcPr>
          <w:p w14:paraId="6F97386C" w14:textId="084CB8A3" w:rsidR="00E048DE" w:rsidRPr="00105355" w:rsidRDefault="006344AF" w:rsidP="00E048DE">
            <w:pPr>
              <w:jc w:val="center"/>
              <w:rPr>
                <w:rFonts w:ascii="Times New Roman" w:hAnsi="Times New Roman" w:cs="Times New Roman"/>
                <w:sz w:val="20"/>
                <w:szCs w:val="20"/>
              </w:rPr>
            </w:pPr>
            <w:r w:rsidRPr="00105355">
              <w:rPr>
                <w:rFonts w:ascii="Times New Roman" w:hAnsi="Times New Roman" w:cs="Times New Roman"/>
                <w:sz w:val="20"/>
                <w:szCs w:val="20"/>
              </w:rPr>
              <w:t>Energy</w:t>
            </w:r>
            <w:r w:rsidR="004A7E40" w:rsidRPr="00105355">
              <w:rPr>
                <w:rFonts w:ascii="Times New Roman" w:hAnsi="Times New Roman" w:cs="Times New Roman"/>
                <w:sz w:val="20"/>
                <w:szCs w:val="20"/>
              </w:rPr>
              <w:t>/Climate Change</w:t>
            </w:r>
          </w:p>
        </w:tc>
        <w:tc>
          <w:tcPr>
            <w:tcW w:w="3690" w:type="dxa"/>
            <w:vAlign w:val="center"/>
          </w:tcPr>
          <w:p w14:paraId="175C6A4B" w14:textId="4B049191" w:rsidR="00E048DE" w:rsidRPr="0030573B" w:rsidRDefault="00285A36" w:rsidP="00E048DE">
            <w:pPr>
              <w:rPr>
                <w:rFonts w:ascii="Times New Roman" w:hAnsi="Times New Roman" w:cs="Times New Roman"/>
                <w:sz w:val="20"/>
                <w:szCs w:val="20"/>
              </w:rPr>
            </w:pPr>
            <w:r w:rsidRPr="00285A36">
              <w:rPr>
                <w:rFonts w:ascii="Times New Roman" w:hAnsi="Times New Roman" w:cs="Times New Roman"/>
                <w:sz w:val="20"/>
                <w:szCs w:val="20"/>
              </w:rPr>
              <w:t xml:space="preserve">Rules designed to protect consumers in the public utility era are being used to protect incumbents and hamstring decarbonization efforts in restructured energy markets and, therefore, regulators should prohibit vertically integrated utilities from using state ratemaking proceedings to recover losses their generators incur in wholesale electricity markets, ease restrictive certificate of public convenience and necessity laws to support additional energy infrastructure, and abandon the </w:t>
            </w:r>
            <w:proofErr w:type="spellStart"/>
            <w:r w:rsidRPr="00285A36">
              <w:rPr>
                <w:rFonts w:ascii="Times New Roman" w:hAnsi="Times New Roman" w:cs="Times New Roman"/>
                <w:sz w:val="20"/>
                <w:szCs w:val="20"/>
              </w:rPr>
              <w:t>filed</w:t>
            </w:r>
            <w:proofErr w:type="spellEnd"/>
            <w:r w:rsidRPr="00285A36">
              <w:rPr>
                <w:rFonts w:ascii="Times New Roman" w:hAnsi="Times New Roman" w:cs="Times New Roman"/>
                <w:sz w:val="20"/>
                <w:szCs w:val="20"/>
              </w:rPr>
              <w:t xml:space="preserve"> rate doctrine.</w:t>
            </w:r>
          </w:p>
        </w:tc>
      </w:tr>
      <w:tr w:rsidR="00E048DE" w:rsidRPr="0030573B" w14:paraId="5D0D9B70" w14:textId="77777777" w:rsidTr="00A07838">
        <w:trPr>
          <w:cantSplit/>
        </w:trPr>
        <w:tc>
          <w:tcPr>
            <w:tcW w:w="1435" w:type="dxa"/>
            <w:vAlign w:val="center"/>
          </w:tcPr>
          <w:p w14:paraId="1128ADD7" w14:textId="0C193151" w:rsidR="00E048DE" w:rsidRPr="0030573B" w:rsidRDefault="00E048DE" w:rsidP="00E048DE">
            <w:pPr>
              <w:jc w:val="center"/>
              <w:rPr>
                <w:rFonts w:ascii="Times New Roman" w:hAnsi="Times New Roman" w:cs="Times New Roman"/>
                <w:sz w:val="20"/>
                <w:szCs w:val="20"/>
              </w:rPr>
            </w:pPr>
            <w:r w:rsidRPr="0030573B">
              <w:rPr>
                <w:rFonts w:ascii="Times New Roman" w:eastAsia="Times New Roman" w:hAnsi="Times New Roman" w:cs="Times New Roman"/>
                <w:color w:val="000000"/>
                <w:sz w:val="20"/>
                <w:szCs w:val="20"/>
              </w:rPr>
              <w:t>Miller, D.L.</w:t>
            </w:r>
            <w:r w:rsidR="00511A1A">
              <w:rPr>
                <w:rFonts w:ascii="Times New Roman" w:eastAsia="Times New Roman" w:hAnsi="Times New Roman" w:cs="Times New Roman"/>
                <w:color w:val="000000"/>
                <w:sz w:val="20"/>
                <w:szCs w:val="20"/>
              </w:rPr>
              <w:t>, and Ryke Longest</w:t>
            </w:r>
          </w:p>
        </w:tc>
        <w:tc>
          <w:tcPr>
            <w:tcW w:w="1643" w:type="dxa"/>
            <w:vAlign w:val="center"/>
          </w:tcPr>
          <w:p w14:paraId="60A1D164" w14:textId="62AA8290" w:rsidR="00E048DE" w:rsidRPr="0030573B" w:rsidRDefault="00E048DE" w:rsidP="00E048DE">
            <w:pPr>
              <w:jc w:val="center"/>
              <w:rPr>
                <w:rFonts w:ascii="Times New Roman" w:hAnsi="Times New Roman" w:cs="Times New Roman"/>
                <w:i/>
                <w:sz w:val="20"/>
                <w:szCs w:val="20"/>
              </w:rPr>
            </w:pPr>
            <w:r w:rsidRPr="0030573B">
              <w:rPr>
                <w:rFonts w:ascii="Times New Roman" w:eastAsia="Times New Roman" w:hAnsi="Times New Roman" w:cs="Times New Roman"/>
                <w:i/>
                <w:color w:val="000000"/>
                <w:sz w:val="20"/>
                <w:szCs w:val="20"/>
              </w:rPr>
              <w:t xml:space="preserve">Reconciling </w:t>
            </w:r>
            <w:r w:rsidR="0029477C">
              <w:rPr>
                <w:rFonts w:ascii="Times New Roman" w:eastAsia="Times New Roman" w:hAnsi="Times New Roman" w:cs="Times New Roman"/>
                <w:i/>
                <w:color w:val="000000"/>
                <w:sz w:val="20"/>
                <w:szCs w:val="20"/>
              </w:rPr>
              <w:t>Environmental Justice w</w:t>
            </w:r>
            <w:r w:rsidRPr="0030573B">
              <w:rPr>
                <w:rFonts w:ascii="Times New Roman" w:eastAsia="Times New Roman" w:hAnsi="Times New Roman" w:cs="Times New Roman"/>
                <w:i/>
                <w:color w:val="000000"/>
                <w:sz w:val="20"/>
                <w:szCs w:val="20"/>
              </w:rPr>
              <w:t>ith Climate C</w:t>
            </w:r>
            <w:r w:rsidR="0029477C">
              <w:rPr>
                <w:rFonts w:ascii="Times New Roman" w:eastAsia="Times New Roman" w:hAnsi="Times New Roman" w:cs="Times New Roman"/>
                <w:i/>
                <w:color w:val="000000"/>
                <w:sz w:val="20"/>
                <w:szCs w:val="20"/>
              </w:rPr>
              <w:t>hange Mitigation: A Case Study o</w:t>
            </w:r>
            <w:r w:rsidRPr="0030573B">
              <w:rPr>
                <w:rFonts w:ascii="Times New Roman" w:eastAsia="Times New Roman" w:hAnsi="Times New Roman" w:cs="Times New Roman"/>
                <w:i/>
                <w:color w:val="000000"/>
                <w:sz w:val="20"/>
                <w:szCs w:val="20"/>
              </w:rPr>
              <w:t>f NC Swine CAFOs</w:t>
            </w:r>
          </w:p>
        </w:tc>
        <w:tc>
          <w:tcPr>
            <w:tcW w:w="2160" w:type="dxa"/>
            <w:vAlign w:val="center"/>
          </w:tcPr>
          <w:p w14:paraId="131084A8" w14:textId="77777777" w:rsidR="00E048DE" w:rsidRDefault="00E048DE" w:rsidP="00E048DE">
            <w:pPr>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21 VT. J. ENVTL. L. 523</w:t>
            </w:r>
          </w:p>
          <w:p w14:paraId="3D070B78" w14:textId="77777777" w:rsidR="002121A2" w:rsidRDefault="002121A2" w:rsidP="00E048DE">
            <w:pPr>
              <w:jc w:val="center"/>
              <w:rPr>
                <w:rFonts w:ascii="Times New Roman" w:eastAsia="Times New Roman" w:hAnsi="Times New Roman" w:cs="Times New Roman"/>
                <w:color w:val="000000"/>
                <w:sz w:val="20"/>
                <w:szCs w:val="20"/>
              </w:rPr>
            </w:pPr>
          </w:p>
          <w:p w14:paraId="3AEAE3B0" w14:textId="524FC05A" w:rsidR="002121A2" w:rsidRPr="0030573B" w:rsidRDefault="00D2267C" w:rsidP="00E048DE">
            <w:pPr>
              <w:jc w:val="center"/>
              <w:rPr>
                <w:rFonts w:ascii="Times New Roman" w:eastAsia="Times New Roman" w:hAnsi="Times New Roman" w:cs="Times New Roman"/>
                <w:sz w:val="20"/>
                <w:szCs w:val="20"/>
              </w:rPr>
            </w:pPr>
            <w:hyperlink r:id="rId16" w:history="1">
              <w:r w:rsidR="002121A2" w:rsidRPr="002121A2">
                <w:rPr>
                  <w:rStyle w:val="Hyperlink"/>
                  <w:rFonts w:ascii="Times New Roman" w:eastAsia="Times New Roman" w:hAnsi="Times New Roman" w:cs="Times New Roman"/>
                  <w:sz w:val="20"/>
                  <w:szCs w:val="20"/>
                </w:rPr>
                <w:t>http://vjel.vermontlaw.edu/files/2020/05/Miller_Final.pdf</w:t>
              </w:r>
            </w:hyperlink>
          </w:p>
        </w:tc>
        <w:tc>
          <w:tcPr>
            <w:tcW w:w="1980" w:type="dxa"/>
            <w:vAlign w:val="center"/>
          </w:tcPr>
          <w:p w14:paraId="602DA22A" w14:textId="29A8E174" w:rsidR="00E048DE" w:rsidRPr="004A7E40" w:rsidRDefault="002121A2" w:rsidP="00E048DE">
            <w:pPr>
              <w:jc w:val="center"/>
              <w:rPr>
                <w:rFonts w:ascii="Times New Roman" w:hAnsi="Times New Roman" w:cs="Times New Roman"/>
                <w:sz w:val="20"/>
                <w:szCs w:val="20"/>
                <w:highlight w:val="yellow"/>
              </w:rPr>
            </w:pPr>
            <w:r w:rsidRPr="00105355">
              <w:rPr>
                <w:rFonts w:ascii="Times New Roman" w:hAnsi="Times New Roman" w:cs="Times New Roman"/>
                <w:sz w:val="20"/>
                <w:szCs w:val="20"/>
              </w:rPr>
              <w:t>Governance</w:t>
            </w:r>
            <w:r w:rsidR="004A7E40" w:rsidRPr="00105355">
              <w:rPr>
                <w:rFonts w:ascii="Times New Roman" w:hAnsi="Times New Roman" w:cs="Times New Roman"/>
                <w:sz w:val="20"/>
                <w:szCs w:val="20"/>
              </w:rPr>
              <w:t>/Climate Change</w:t>
            </w:r>
          </w:p>
        </w:tc>
        <w:tc>
          <w:tcPr>
            <w:tcW w:w="3690" w:type="dxa"/>
            <w:vAlign w:val="center"/>
          </w:tcPr>
          <w:p w14:paraId="51B30D2F" w14:textId="1BA31A7B" w:rsidR="00E048DE" w:rsidRPr="0030573B" w:rsidRDefault="00F7350A" w:rsidP="008B205E">
            <w:pPr>
              <w:rPr>
                <w:rFonts w:ascii="Times New Roman" w:hAnsi="Times New Roman" w:cs="Times New Roman"/>
                <w:sz w:val="20"/>
                <w:szCs w:val="20"/>
              </w:rPr>
            </w:pPr>
            <w:r w:rsidRPr="00F7350A">
              <w:rPr>
                <w:rFonts w:ascii="Times New Roman" w:hAnsi="Times New Roman" w:cs="Times New Roman"/>
                <w:sz w:val="20"/>
                <w:szCs w:val="20"/>
              </w:rPr>
              <w:t>North Carolina should use permitting, enforcement agreements, and/or legislation to require corporate CAFO operators—which have long resisted efforts to address harmful farming practices that disproportionately impact the health of neighboring communities of color—to use profits from new swine waste biogas production to install long-promised clean waste treatment technologies.</w:t>
            </w:r>
          </w:p>
        </w:tc>
      </w:tr>
      <w:tr w:rsidR="00E048DE" w:rsidRPr="0030573B" w14:paraId="322827F4" w14:textId="77777777" w:rsidTr="00A07838">
        <w:trPr>
          <w:cantSplit/>
        </w:trPr>
        <w:tc>
          <w:tcPr>
            <w:tcW w:w="1435" w:type="dxa"/>
            <w:vAlign w:val="center"/>
          </w:tcPr>
          <w:p w14:paraId="77608EBD" w14:textId="2E4DDDD1" w:rsidR="00E048DE" w:rsidRPr="0030573B" w:rsidRDefault="00E048DE" w:rsidP="00E048DE">
            <w:pPr>
              <w:jc w:val="center"/>
              <w:rPr>
                <w:rFonts w:ascii="Times New Roman" w:hAnsi="Times New Roman" w:cs="Times New Roman"/>
                <w:sz w:val="20"/>
                <w:szCs w:val="20"/>
              </w:rPr>
            </w:pPr>
            <w:r w:rsidRPr="0030573B">
              <w:rPr>
                <w:rFonts w:ascii="Times New Roman" w:eastAsia="Times New Roman" w:hAnsi="Times New Roman" w:cs="Times New Roman"/>
                <w:color w:val="000000"/>
                <w:sz w:val="20"/>
                <w:szCs w:val="20"/>
              </w:rPr>
              <w:t>Pidot, Justin R.</w:t>
            </w:r>
          </w:p>
        </w:tc>
        <w:tc>
          <w:tcPr>
            <w:tcW w:w="1643" w:type="dxa"/>
            <w:vAlign w:val="center"/>
          </w:tcPr>
          <w:p w14:paraId="4E50E112" w14:textId="36A027CF" w:rsidR="00E048DE" w:rsidRPr="0030573B" w:rsidRDefault="00E048DE" w:rsidP="00E048DE">
            <w:pPr>
              <w:jc w:val="center"/>
              <w:rPr>
                <w:rFonts w:ascii="Times New Roman" w:hAnsi="Times New Roman" w:cs="Times New Roman"/>
                <w:i/>
                <w:sz w:val="20"/>
                <w:szCs w:val="20"/>
              </w:rPr>
            </w:pPr>
            <w:r w:rsidRPr="0030573B">
              <w:rPr>
                <w:rFonts w:ascii="Times New Roman" w:eastAsia="Times New Roman" w:hAnsi="Times New Roman" w:cs="Times New Roman"/>
                <w:i/>
                <w:color w:val="000000"/>
                <w:sz w:val="20"/>
                <w:szCs w:val="20"/>
              </w:rPr>
              <w:t>Contingent Delisting</w:t>
            </w:r>
          </w:p>
        </w:tc>
        <w:tc>
          <w:tcPr>
            <w:tcW w:w="2160" w:type="dxa"/>
            <w:vAlign w:val="center"/>
          </w:tcPr>
          <w:p w14:paraId="0F1ECC7E" w14:textId="77777777" w:rsidR="00E048DE" w:rsidRDefault="00E048DE" w:rsidP="00E048DE">
            <w:pPr>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91 U. COLO. L. REV. 649</w:t>
            </w:r>
          </w:p>
          <w:p w14:paraId="769FC899" w14:textId="77777777" w:rsidR="00452C03" w:rsidRDefault="00452C03" w:rsidP="00E048DE">
            <w:pPr>
              <w:jc w:val="center"/>
              <w:rPr>
                <w:rFonts w:ascii="Times New Roman" w:eastAsia="Times New Roman" w:hAnsi="Times New Roman" w:cs="Times New Roman"/>
                <w:color w:val="000000"/>
                <w:sz w:val="20"/>
                <w:szCs w:val="20"/>
              </w:rPr>
            </w:pPr>
          </w:p>
          <w:p w14:paraId="0FD7457C" w14:textId="799DD87C" w:rsidR="00452C03" w:rsidRPr="00452C03" w:rsidRDefault="00D2267C" w:rsidP="00452C03">
            <w:pPr>
              <w:jc w:val="center"/>
              <w:rPr>
                <w:rFonts w:ascii="Times New Roman" w:eastAsia="Times New Roman" w:hAnsi="Times New Roman" w:cs="Times New Roman"/>
                <w:color w:val="000000"/>
                <w:sz w:val="20"/>
                <w:szCs w:val="20"/>
              </w:rPr>
            </w:pPr>
            <w:hyperlink r:id="rId17" w:history="1">
              <w:r w:rsidR="00452C03" w:rsidRPr="00452C03">
                <w:rPr>
                  <w:rStyle w:val="Hyperlink"/>
                  <w:rFonts w:ascii="Times New Roman" w:eastAsia="Times New Roman" w:hAnsi="Times New Roman" w:cs="Times New Roman"/>
                  <w:sz w:val="20"/>
                  <w:szCs w:val="20"/>
                </w:rPr>
                <w:t>http://lawreview.colorado.edu/wp-content/uploads/2020/02/Pidot_Final.pdf</w:t>
              </w:r>
            </w:hyperlink>
          </w:p>
        </w:tc>
        <w:tc>
          <w:tcPr>
            <w:tcW w:w="1980" w:type="dxa"/>
            <w:vAlign w:val="center"/>
          </w:tcPr>
          <w:p w14:paraId="509166A2" w14:textId="220DF150" w:rsidR="00E048DE" w:rsidRPr="0030573B" w:rsidRDefault="00452C03" w:rsidP="00E048DE">
            <w:pPr>
              <w:jc w:val="center"/>
              <w:rPr>
                <w:rFonts w:ascii="Times New Roman" w:hAnsi="Times New Roman" w:cs="Times New Roman"/>
                <w:sz w:val="20"/>
                <w:szCs w:val="20"/>
              </w:rPr>
            </w:pPr>
            <w:r>
              <w:rPr>
                <w:rFonts w:ascii="Times New Roman" w:hAnsi="Times New Roman" w:cs="Times New Roman"/>
                <w:sz w:val="20"/>
                <w:szCs w:val="20"/>
              </w:rPr>
              <w:t>Wildlife</w:t>
            </w:r>
          </w:p>
        </w:tc>
        <w:tc>
          <w:tcPr>
            <w:tcW w:w="3690" w:type="dxa"/>
            <w:vAlign w:val="center"/>
          </w:tcPr>
          <w:p w14:paraId="751B44B7" w14:textId="62BBA958" w:rsidR="00E048DE" w:rsidRPr="0030573B" w:rsidRDefault="00452C03" w:rsidP="00E048DE">
            <w:pPr>
              <w:rPr>
                <w:rFonts w:ascii="Times New Roman" w:hAnsi="Times New Roman" w:cs="Times New Roman"/>
                <w:sz w:val="20"/>
                <w:szCs w:val="20"/>
              </w:rPr>
            </w:pPr>
            <w:r w:rsidRPr="00452C03">
              <w:rPr>
                <w:rFonts w:ascii="Times New Roman" w:hAnsi="Times New Roman" w:cs="Times New Roman"/>
                <w:sz w:val="20"/>
                <w:szCs w:val="20"/>
              </w:rPr>
              <w:t>To address both wildlife conservation and economic interests, the Fish and Wildlife Service should implement an Endangered Species Act contingent delisting option that would render certain listings dormant, return jurisdiction to the states, but allow federal intervention if species’ conditions deteriorate.</w:t>
            </w:r>
          </w:p>
        </w:tc>
      </w:tr>
      <w:tr w:rsidR="00E048DE" w:rsidRPr="0030573B" w14:paraId="5BD599A2" w14:textId="77777777" w:rsidTr="00A07838">
        <w:trPr>
          <w:cantSplit/>
        </w:trPr>
        <w:tc>
          <w:tcPr>
            <w:tcW w:w="1435" w:type="dxa"/>
            <w:vAlign w:val="center"/>
          </w:tcPr>
          <w:p w14:paraId="3FB252DD" w14:textId="62C1DD6C" w:rsidR="00E048DE" w:rsidRPr="0030573B" w:rsidRDefault="00E048DE" w:rsidP="00E048DE">
            <w:pPr>
              <w:jc w:val="center"/>
              <w:rPr>
                <w:rFonts w:ascii="Times New Roman" w:hAnsi="Times New Roman" w:cs="Times New Roman"/>
                <w:sz w:val="20"/>
                <w:szCs w:val="20"/>
              </w:rPr>
            </w:pPr>
            <w:proofErr w:type="spellStart"/>
            <w:r w:rsidRPr="0030573B">
              <w:rPr>
                <w:rFonts w:ascii="Times New Roman" w:eastAsia="Times New Roman" w:hAnsi="Times New Roman" w:cs="Times New Roman"/>
                <w:color w:val="000000"/>
                <w:sz w:val="20"/>
                <w:szCs w:val="20"/>
              </w:rPr>
              <w:t>Ruple</w:t>
            </w:r>
            <w:proofErr w:type="spellEnd"/>
            <w:r w:rsidRPr="0030573B">
              <w:rPr>
                <w:rFonts w:ascii="Times New Roman" w:eastAsia="Times New Roman" w:hAnsi="Times New Roman" w:cs="Times New Roman"/>
                <w:color w:val="000000"/>
                <w:sz w:val="20"/>
                <w:szCs w:val="20"/>
              </w:rPr>
              <w:t>, John C.</w:t>
            </w:r>
            <w:r w:rsidR="00511A1A">
              <w:rPr>
                <w:rFonts w:ascii="Times New Roman" w:eastAsia="Times New Roman" w:hAnsi="Times New Roman" w:cs="Times New Roman"/>
                <w:color w:val="000000"/>
                <w:sz w:val="20"/>
                <w:szCs w:val="20"/>
              </w:rPr>
              <w:t>, and Kayla M. Race</w:t>
            </w:r>
          </w:p>
        </w:tc>
        <w:tc>
          <w:tcPr>
            <w:tcW w:w="1643" w:type="dxa"/>
            <w:vAlign w:val="center"/>
          </w:tcPr>
          <w:p w14:paraId="3721B038" w14:textId="2BB57C14" w:rsidR="00E048DE" w:rsidRPr="0030573B" w:rsidRDefault="0029477C" w:rsidP="00E048DE">
            <w:pPr>
              <w:jc w:val="center"/>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Measuring t</w:t>
            </w:r>
            <w:r w:rsidR="00E048DE" w:rsidRPr="0030573B">
              <w:rPr>
                <w:rFonts w:ascii="Times New Roman" w:eastAsia="Times New Roman" w:hAnsi="Times New Roman" w:cs="Times New Roman"/>
                <w:i/>
                <w:color w:val="000000"/>
                <w:sz w:val="20"/>
                <w:szCs w:val="20"/>
              </w:rPr>
              <w:t>he NEPA</w:t>
            </w:r>
            <w:r>
              <w:rPr>
                <w:rFonts w:ascii="Times New Roman" w:eastAsia="Times New Roman" w:hAnsi="Times New Roman" w:cs="Times New Roman"/>
                <w:i/>
                <w:color w:val="000000"/>
                <w:sz w:val="20"/>
                <w:szCs w:val="20"/>
              </w:rPr>
              <w:t xml:space="preserve"> Litigation Burden: A Review of</w:t>
            </w:r>
            <w:r w:rsidR="00E048DE" w:rsidRPr="0030573B">
              <w:rPr>
                <w:rFonts w:ascii="Times New Roman" w:eastAsia="Times New Roman" w:hAnsi="Times New Roman" w:cs="Times New Roman"/>
                <w:i/>
                <w:color w:val="000000"/>
                <w:sz w:val="20"/>
                <w:szCs w:val="20"/>
              </w:rPr>
              <w:t xml:space="preserve"> 1,499 Federal Court Cases</w:t>
            </w:r>
          </w:p>
        </w:tc>
        <w:tc>
          <w:tcPr>
            <w:tcW w:w="2160" w:type="dxa"/>
            <w:vAlign w:val="center"/>
          </w:tcPr>
          <w:p w14:paraId="7B7CBB21" w14:textId="77777777" w:rsidR="00E048DE" w:rsidRDefault="00E048DE" w:rsidP="00955A18">
            <w:pPr>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50 ENVTL. L. 479</w:t>
            </w:r>
          </w:p>
          <w:p w14:paraId="2C0F94B4" w14:textId="77777777" w:rsidR="00955A18" w:rsidRDefault="00955A18" w:rsidP="00955A18">
            <w:pPr>
              <w:jc w:val="center"/>
              <w:rPr>
                <w:rFonts w:ascii="Times New Roman" w:eastAsia="Times New Roman" w:hAnsi="Times New Roman" w:cs="Times New Roman"/>
                <w:color w:val="000000"/>
                <w:sz w:val="20"/>
                <w:szCs w:val="20"/>
              </w:rPr>
            </w:pPr>
          </w:p>
          <w:p w14:paraId="6CC87E34" w14:textId="77777777" w:rsidR="00955A18" w:rsidRPr="00955A18" w:rsidRDefault="00D2267C" w:rsidP="00955A18">
            <w:pPr>
              <w:jc w:val="center"/>
              <w:rPr>
                <w:rFonts w:ascii="Times New Roman" w:eastAsia="Times New Roman" w:hAnsi="Times New Roman" w:cs="Times New Roman"/>
                <w:color w:val="000000"/>
                <w:sz w:val="20"/>
                <w:szCs w:val="20"/>
              </w:rPr>
            </w:pPr>
            <w:hyperlink r:id="rId18" w:history="1">
              <w:r w:rsidR="00955A18" w:rsidRPr="00955A18">
                <w:rPr>
                  <w:rStyle w:val="Hyperlink"/>
                  <w:rFonts w:ascii="Times New Roman" w:eastAsia="Times New Roman" w:hAnsi="Times New Roman" w:cs="Times New Roman"/>
                  <w:sz w:val="20"/>
                  <w:szCs w:val="20"/>
                </w:rPr>
                <w:t>https://law.lclark.edu/live/files/30163-50-2-ruple</w:t>
              </w:r>
            </w:hyperlink>
            <w:r w:rsidR="00955A18" w:rsidRPr="00955A18">
              <w:rPr>
                <w:rFonts w:ascii="Times New Roman" w:eastAsia="Times New Roman" w:hAnsi="Times New Roman" w:cs="Times New Roman"/>
                <w:color w:val="000000"/>
                <w:sz w:val="20"/>
                <w:szCs w:val="20"/>
              </w:rPr>
              <w:t xml:space="preserve">  </w:t>
            </w:r>
          </w:p>
          <w:p w14:paraId="22721635" w14:textId="7B23EB87" w:rsidR="00955A18" w:rsidRPr="0030573B" w:rsidRDefault="00955A18" w:rsidP="00955A18">
            <w:pPr>
              <w:jc w:val="center"/>
              <w:rPr>
                <w:rFonts w:ascii="Times New Roman" w:eastAsia="Times New Roman" w:hAnsi="Times New Roman" w:cs="Times New Roman"/>
                <w:sz w:val="20"/>
                <w:szCs w:val="20"/>
              </w:rPr>
            </w:pPr>
          </w:p>
        </w:tc>
        <w:tc>
          <w:tcPr>
            <w:tcW w:w="1980" w:type="dxa"/>
            <w:vAlign w:val="center"/>
          </w:tcPr>
          <w:p w14:paraId="0DCABC22" w14:textId="1ED6AECB" w:rsidR="00E048DE" w:rsidRPr="0030573B" w:rsidRDefault="00955A18" w:rsidP="00E048DE">
            <w:pPr>
              <w:jc w:val="center"/>
              <w:rPr>
                <w:rFonts w:ascii="Times New Roman" w:hAnsi="Times New Roman" w:cs="Times New Roman"/>
                <w:sz w:val="20"/>
                <w:szCs w:val="20"/>
              </w:rPr>
            </w:pPr>
            <w:r>
              <w:rPr>
                <w:rFonts w:ascii="Times New Roman" w:hAnsi="Times New Roman" w:cs="Times New Roman"/>
                <w:sz w:val="20"/>
                <w:szCs w:val="20"/>
              </w:rPr>
              <w:t>Governance</w:t>
            </w:r>
          </w:p>
        </w:tc>
        <w:tc>
          <w:tcPr>
            <w:tcW w:w="3690" w:type="dxa"/>
            <w:vAlign w:val="center"/>
          </w:tcPr>
          <w:p w14:paraId="35A025C4" w14:textId="6860F1BD" w:rsidR="00E048DE" w:rsidRPr="0030573B" w:rsidRDefault="00955A18" w:rsidP="00E048DE">
            <w:pPr>
              <w:outlineLvl w:val="0"/>
              <w:rPr>
                <w:rFonts w:ascii="Times New Roman" w:hAnsi="Times New Roman" w:cs="Times New Roman"/>
                <w:sz w:val="20"/>
                <w:szCs w:val="20"/>
              </w:rPr>
            </w:pPr>
            <w:r w:rsidRPr="00955A18">
              <w:rPr>
                <w:rFonts w:ascii="Times New Roman" w:hAnsi="Times New Roman" w:cs="Times New Roman"/>
                <w:sz w:val="20"/>
                <w:szCs w:val="20"/>
              </w:rPr>
              <w:t>Based on a quantitative study of 1,499 federal cases finding that the NEPA litigation burden is overstated, improvements to the NEPA process (1) should include standardized and more robust NEPA document collection across all agencies; and (2) should not include deadlines and page limits for EISs, as expedited analyses more frequently result in litigation and raise questions of whether the agency took a sufficiently “hard look.”</w:t>
            </w:r>
          </w:p>
        </w:tc>
      </w:tr>
      <w:tr w:rsidR="00E048DE" w:rsidRPr="0030573B" w14:paraId="7D169B62" w14:textId="77777777" w:rsidTr="00A07838">
        <w:trPr>
          <w:cantSplit/>
        </w:trPr>
        <w:tc>
          <w:tcPr>
            <w:tcW w:w="1435" w:type="dxa"/>
            <w:vAlign w:val="center"/>
          </w:tcPr>
          <w:p w14:paraId="2C73B5FE" w14:textId="46815497" w:rsidR="00E048DE" w:rsidRPr="0030573B" w:rsidRDefault="00E048DE" w:rsidP="00E048DE">
            <w:pPr>
              <w:jc w:val="center"/>
              <w:rPr>
                <w:rFonts w:ascii="Times New Roman" w:hAnsi="Times New Roman" w:cs="Times New Roman"/>
                <w:sz w:val="20"/>
                <w:szCs w:val="20"/>
              </w:rPr>
            </w:pPr>
            <w:proofErr w:type="spellStart"/>
            <w:r w:rsidRPr="0030573B">
              <w:rPr>
                <w:rFonts w:ascii="Times New Roman" w:eastAsia="Times New Roman" w:hAnsi="Times New Roman" w:cs="Times New Roman"/>
                <w:color w:val="000000"/>
                <w:sz w:val="20"/>
                <w:szCs w:val="20"/>
              </w:rPr>
              <w:lastRenderedPageBreak/>
              <w:t>Schanzenbach</w:t>
            </w:r>
            <w:proofErr w:type="spellEnd"/>
            <w:r w:rsidRPr="0030573B">
              <w:rPr>
                <w:rFonts w:ascii="Times New Roman" w:eastAsia="Times New Roman" w:hAnsi="Times New Roman" w:cs="Times New Roman"/>
                <w:color w:val="000000"/>
                <w:sz w:val="20"/>
                <w:szCs w:val="20"/>
              </w:rPr>
              <w:t>, Max M.</w:t>
            </w:r>
            <w:r w:rsidR="00511A1A">
              <w:rPr>
                <w:rFonts w:ascii="Times New Roman" w:eastAsia="Times New Roman" w:hAnsi="Times New Roman" w:cs="Times New Roman"/>
                <w:color w:val="000000"/>
                <w:sz w:val="20"/>
                <w:szCs w:val="20"/>
              </w:rPr>
              <w:t>, and Robert H. Sitkoff</w:t>
            </w:r>
          </w:p>
        </w:tc>
        <w:tc>
          <w:tcPr>
            <w:tcW w:w="1643" w:type="dxa"/>
            <w:vAlign w:val="center"/>
          </w:tcPr>
          <w:p w14:paraId="6E199874" w14:textId="76B3BA2C" w:rsidR="00E048DE" w:rsidRPr="0030573B" w:rsidRDefault="00E048DE" w:rsidP="00E048DE">
            <w:pPr>
              <w:jc w:val="center"/>
              <w:rPr>
                <w:rFonts w:ascii="Times New Roman" w:eastAsia="Times New Roman" w:hAnsi="Times New Roman" w:cs="Times New Roman"/>
                <w:i/>
                <w:sz w:val="20"/>
                <w:szCs w:val="20"/>
              </w:rPr>
            </w:pPr>
            <w:r w:rsidRPr="0030573B">
              <w:rPr>
                <w:rFonts w:ascii="Times New Roman" w:eastAsia="Times New Roman" w:hAnsi="Times New Roman" w:cs="Times New Roman"/>
                <w:i/>
                <w:color w:val="000000"/>
                <w:sz w:val="20"/>
                <w:szCs w:val="20"/>
              </w:rPr>
              <w:t xml:space="preserve">Reconciling Fiduciary Duty </w:t>
            </w:r>
            <w:r w:rsidR="0029477C">
              <w:rPr>
                <w:rFonts w:ascii="Times New Roman" w:eastAsia="Times New Roman" w:hAnsi="Times New Roman" w:cs="Times New Roman"/>
                <w:i/>
                <w:color w:val="000000"/>
                <w:sz w:val="20"/>
                <w:szCs w:val="20"/>
              </w:rPr>
              <w:t>And Social Conscience: The Law and Economics of ESG Investing by a</w:t>
            </w:r>
            <w:r w:rsidRPr="0030573B">
              <w:rPr>
                <w:rFonts w:ascii="Times New Roman" w:eastAsia="Times New Roman" w:hAnsi="Times New Roman" w:cs="Times New Roman"/>
                <w:i/>
                <w:color w:val="000000"/>
                <w:sz w:val="20"/>
                <w:szCs w:val="20"/>
              </w:rPr>
              <w:t xml:space="preserve"> Trustee</w:t>
            </w:r>
          </w:p>
        </w:tc>
        <w:tc>
          <w:tcPr>
            <w:tcW w:w="2160" w:type="dxa"/>
            <w:vAlign w:val="center"/>
          </w:tcPr>
          <w:p w14:paraId="75C18C7F" w14:textId="77777777" w:rsidR="00E048DE" w:rsidRDefault="00E048DE" w:rsidP="00E048DE">
            <w:pPr>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72 STAN. L. REV. 381</w:t>
            </w:r>
            <w:r w:rsidR="00A07838">
              <w:rPr>
                <w:rFonts w:ascii="Times New Roman" w:eastAsia="Times New Roman" w:hAnsi="Times New Roman" w:cs="Times New Roman"/>
                <w:color w:val="000000"/>
                <w:sz w:val="20"/>
                <w:szCs w:val="20"/>
              </w:rPr>
              <w:br/>
            </w:r>
          </w:p>
          <w:p w14:paraId="23E45415" w14:textId="77777777" w:rsidR="00A07838" w:rsidRPr="00A07838" w:rsidRDefault="00D2267C" w:rsidP="00A07838">
            <w:pPr>
              <w:jc w:val="center"/>
              <w:rPr>
                <w:rFonts w:ascii="Times New Roman" w:eastAsia="Times New Roman" w:hAnsi="Times New Roman" w:cs="Times New Roman"/>
                <w:sz w:val="20"/>
                <w:szCs w:val="20"/>
              </w:rPr>
            </w:pPr>
            <w:hyperlink r:id="rId19" w:history="1">
              <w:r w:rsidR="00A07838" w:rsidRPr="00A07838">
                <w:rPr>
                  <w:rStyle w:val="Hyperlink"/>
                  <w:rFonts w:ascii="Times New Roman" w:eastAsia="Times New Roman" w:hAnsi="Times New Roman" w:cs="Times New Roman"/>
                  <w:sz w:val="20"/>
                  <w:szCs w:val="20"/>
                </w:rPr>
                <w:t>https://stanford.io/3mNj7vQ</w:t>
              </w:r>
            </w:hyperlink>
          </w:p>
          <w:p w14:paraId="66FA8968" w14:textId="14AAC12D" w:rsidR="00A07838" w:rsidRPr="0030573B" w:rsidRDefault="00A07838" w:rsidP="00E048DE">
            <w:pPr>
              <w:jc w:val="center"/>
              <w:rPr>
                <w:rFonts w:ascii="Times New Roman" w:eastAsia="Times New Roman" w:hAnsi="Times New Roman" w:cs="Times New Roman"/>
                <w:sz w:val="20"/>
                <w:szCs w:val="20"/>
              </w:rPr>
            </w:pPr>
          </w:p>
        </w:tc>
        <w:tc>
          <w:tcPr>
            <w:tcW w:w="1980" w:type="dxa"/>
            <w:vAlign w:val="center"/>
          </w:tcPr>
          <w:p w14:paraId="347650F2" w14:textId="2ED5194E" w:rsidR="00E048DE" w:rsidRPr="0030573B" w:rsidRDefault="006344AF" w:rsidP="00E048DE">
            <w:pPr>
              <w:jc w:val="center"/>
              <w:rPr>
                <w:rFonts w:ascii="Times New Roman" w:hAnsi="Times New Roman" w:cs="Times New Roman"/>
                <w:sz w:val="20"/>
                <w:szCs w:val="20"/>
              </w:rPr>
            </w:pPr>
            <w:r>
              <w:rPr>
                <w:rFonts w:ascii="Times New Roman" w:hAnsi="Times New Roman" w:cs="Times New Roman"/>
                <w:sz w:val="20"/>
                <w:szCs w:val="20"/>
              </w:rPr>
              <w:t>Governance</w:t>
            </w:r>
          </w:p>
        </w:tc>
        <w:tc>
          <w:tcPr>
            <w:tcW w:w="3690" w:type="dxa"/>
            <w:vAlign w:val="center"/>
          </w:tcPr>
          <w:p w14:paraId="3A0C188D" w14:textId="4A4906A2" w:rsidR="00E048DE" w:rsidRPr="0030573B" w:rsidRDefault="00DD670E" w:rsidP="00E048DE">
            <w:pPr>
              <w:rPr>
                <w:rFonts w:ascii="Times New Roman" w:hAnsi="Times New Roman" w:cs="Times New Roman"/>
                <w:sz w:val="20"/>
                <w:szCs w:val="20"/>
              </w:rPr>
            </w:pPr>
            <w:r w:rsidRPr="00DD670E">
              <w:rPr>
                <w:rFonts w:ascii="Times New Roman" w:hAnsi="Times New Roman" w:cs="Times New Roman"/>
                <w:sz w:val="20"/>
                <w:szCs w:val="20"/>
              </w:rPr>
              <w:t>Under American trust fiduciary law, a trustee may engage in ESG investing if: (1) the trustee reasonably concludes that ESG investing will benefit the beneficiary by improving risk-adjusted returns and the trustee’s exclusive motive for such investing is to obtain this direct benefit; or (2) for purposes other than improving risk-adjusted returns but only to a limited extent and if such purposes are authorized by the terms of the trust or by the beneficiaries.</w:t>
            </w:r>
          </w:p>
        </w:tc>
      </w:tr>
      <w:tr w:rsidR="00E048DE" w:rsidRPr="0030573B" w14:paraId="038E3D0E" w14:textId="77777777" w:rsidTr="00AE610D">
        <w:trPr>
          <w:cantSplit/>
          <w:trHeight w:val="2287"/>
        </w:trPr>
        <w:tc>
          <w:tcPr>
            <w:tcW w:w="1435" w:type="dxa"/>
            <w:vAlign w:val="center"/>
          </w:tcPr>
          <w:p w14:paraId="3433DE53" w14:textId="1C4B4E14" w:rsidR="00E048DE" w:rsidRPr="0030573B" w:rsidRDefault="00E048DE" w:rsidP="00AE610D">
            <w:pPr>
              <w:jc w:val="center"/>
              <w:rPr>
                <w:rFonts w:ascii="Times New Roman" w:hAnsi="Times New Roman" w:cs="Times New Roman"/>
                <w:sz w:val="20"/>
                <w:szCs w:val="20"/>
              </w:rPr>
            </w:pPr>
            <w:r w:rsidRPr="0030573B">
              <w:rPr>
                <w:rFonts w:ascii="Times New Roman" w:eastAsia="Times New Roman" w:hAnsi="Times New Roman" w:cs="Times New Roman"/>
                <w:color w:val="000000"/>
                <w:sz w:val="20"/>
                <w:szCs w:val="20"/>
              </w:rPr>
              <w:t>Slobodian, Lydia</w:t>
            </w:r>
          </w:p>
        </w:tc>
        <w:tc>
          <w:tcPr>
            <w:tcW w:w="1643" w:type="dxa"/>
            <w:vAlign w:val="center"/>
          </w:tcPr>
          <w:p w14:paraId="44E4D697" w14:textId="657AF4F2" w:rsidR="00E048DE" w:rsidRPr="0030573B" w:rsidRDefault="0029477C" w:rsidP="00AE610D">
            <w:pPr>
              <w:jc w:val="center"/>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Defending t</w:t>
            </w:r>
            <w:r w:rsidR="00E048DE" w:rsidRPr="0030573B">
              <w:rPr>
                <w:rFonts w:ascii="Times New Roman" w:eastAsia="Times New Roman" w:hAnsi="Times New Roman" w:cs="Times New Roman"/>
                <w:i/>
                <w:color w:val="000000"/>
                <w:sz w:val="20"/>
                <w:szCs w:val="20"/>
              </w:rPr>
              <w:t xml:space="preserve">he Future: Intergenerational </w:t>
            </w:r>
            <w:r>
              <w:rPr>
                <w:rFonts w:ascii="Times New Roman" w:eastAsia="Times New Roman" w:hAnsi="Times New Roman" w:cs="Times New Roman"/>
                <w:i/>
                <w:color w:val="000000"/>
                <w:sz w:val="20"/>
                <w:szCs w:val="20"/>
              </w:rPr>
              <w:t>Equity i</w:t>
            </w:r>
            <w:r w:rsidR="00E048DE" w:rsidRPr="0030573B">
              <w:rPr>
                <w:rFonts w:ascii="Times New Roman" w:eastAsia="Times New Roman" w:hAnsi="Times New Roman" w:cs="Times New Roman"/>
                <w:i/>
                <w:color w:val="000000"/>
                <w:sz w:val="20"/>
                <w:szCs w:val="20"/>
              </w:rPr>
              <w:t>n Climate Litigation</w:t>
            </w:r>
          </w:p>
        </w:tc>
        <w:tc>
          <w:tcPr>
            <w:tcW w:w="2160" w:type="dxa"/>
            <w:vAlign w:val="center"/>
          </w:tcPr>
          <w:p w14:paraId="5C52D84C" w14:textId="77777777" w:rsidR="00E048DE" w:rsidRDefault="00E048DE" w:rsidP="00AE610D">
            <w:pPr>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32 GEO. ENVTL. L. REV. 569</w:t>
            </w:r>
          </w:p>
          <w:p w14:paraId="5A0513E1" w14:textId="77777777" w:rsidR="00AE610D" w:rsidRDefault="00AE610D" w:rsidP="00AE610D">
            <w:pPr>
              <w:jc w:val="center"/>
              <w:rPr>
                <w:rFonts w:ascii="Times New Roman" w:eastAsia="Times New Roman" w:hAnsi="Times New Roman" w:cs="Times New Roman"/>
                <w:color w:val="000000"/>
                <w:sz w:val="20"/>
                <w:szCs w:val="20"/>
              </w:rPr>
            </w:pPr>
          </w:p>
          <w:p w14:paraId="0FD88BC3" w14:textId="77777777" w:rsidR="00AE610D" w:rsidRPr="00AE610D" w:rsidRDefault="00D2267C" w:rsidP="00AE610D">
            <w:pPr>
              <w:jc w:val="center"/>
              <w:rPr>
                <w:rFonts w:ascii="Times New Roman" w:eastAsia="Times New Roman" w:hAnsi="Times New Roman" w:cs="Times New Roman"/>
                <w:color w:val="000000"/>
                <w:sz w:val="20"/>
                <w:szCs w:val="20"/>
                <w:lang w:val="en"/>
              </w:rPr>
            </w:pPr>
            <w:hyperlink r:id="rId20" w:history="1">
              <w:r w:rsidR="00AE610D" w:rsidRPr="00AE610D">
                <w:rPr>
                  <w:rStyle w:val="Hyperlink"/>
                  <w:rFonts w:ascii="Times New Roman" w:eastAsia="Times New Roman" w:hAnsi="Times New Roman" w:cs="Times New Roman"/>
                  <w:sz w:val="20"/>
                  <w:szCs w:val="20"/>
                  <w:lang w:val="en"/>
                </w:rPr>
                <w:t>https://bit.ly/2JbEpF1</w:t>
              </w:r>
            </w:hyperlink>
          </w:p>
          <w:p w14:paraId="1A0940CA" w14:textId="7140B24C" w:rsidR="00AE610D" w:rsidRPr="0030573B" w:rsidRDefault="00AE610D" w:rsidP="00AE610D">
            <w:pPr>
              <w:jc w:val="center"/>
              <w:rPr>
                <w:rFonts w:ascii="Times New Roman" w:eastAsia="Times New Roman" w:hAnsi="Times New Roman" w:cs="Times New Roman"/>
                <w:sz w:val="20"/>
                <w:szCs w:val="20"/>
              </w:rPr>
            </w:pPr>
          </w:p>
        </w:tc>
        <w:tc>
          <w:tcPr>
            <w:tcW w:w="1980" w:type="dxa"/>
            <w:vAlign w:val="center"/>
          </w:tcPr>
          <w:p w14:paraId="7007485E" w14:textId="4DFC7244" w:rsidR="00E048DE" w:rsidRPr="0030573B" w:rsidRDefault="006344AF" w:rsidP="00AE610D">
            <w:pPr>
              <w:jc w:val="center"/>
              <w:rPr>
                <w:rFonts w:ascii="Times New Roman" w:hAnsi="Times New Roman" w:cs="Times New Roman"/>
                <w:sz w:val="20"/>
                <w:szCs w:val="20"/>
              </w:rPr>
            </w:pPr>
            <w:r>
              <w:rPr>
                <w:rFonts w:ascii="Times New Roman" w:hAnsi="Times New Roman" w:cs="Times New Roman"/>
                <w:sz w:val="20"/>
                <w:szCs w:val="20"/>
              </w:rPr>
              <w:t>Climate Change</w:t>
            </w:r>
          </w:p>
        </w:tc>
        <w:tc>
          <w:tcPr>
            <w:tcW w:w="3690" w:type="dxa"/>
            <w:vAlign w:val="center"/>
          </w:tcPr>
          <w:p w14:paraId="627026D2" w14:textId="751A05FE" w:rsidR="00AE610D" w:rsidRPr="00AE610D" w:rsidRDefault="00AE610D" w:rsidP="00AE610D">
            <w:pPr>
              <w:spacing w:after="200"/>
              <w:rPr>
                <w:rFonts w:ascii="Times New Roman" w:hAnsi="Times New Roman" w:cs="Times New Roman"/>
                <w:sz w:val="20"/>
                <w:szCs w:val="20"/>
                <w:lang w:val="en"/>
              </w:rPr>
            </w:pPr>
            <w:r w:rsidRPr="00AE610D">
              <w:rPr>
                <w:rFonts w:ascii="Times New Roman" w:hAnsi="Times New Roman" w:cs="Times New Roman"/>
                <w:sz w:val="20"/>
                <w:szCs w:val="20"/>
                <w:lang w:val="en"/>
              </w:rPr>
              <w:t>Incorporating the concept of “intergenerational equity” into established legal doctrine about fundamental rights and the public trust can serve as a meaningful tool for rhetorically framing climate change litigation brought on behalf of current and future generations, thereby shifting international legal paradigms regarding obligations and remedies.</w:t>
            </w:r>
          </w:p>
        </w:tc>
      </w:tr>
      <w:tr w:rsidR="00E048DE" w:rsidRPr="0030573B" w14:paraId="3B7C02BD" w14:textId="77777777" w:rsidTr="00A07838">
        <w:trPr>
          <w:cantSplit/>
        </w:trPr>
        <w:tc>
          <w:tcPr>
            <w:tcW w:w="1435" w:type="dxa"/>
            <w:vAlign w:val="center"/>
          </w:tcPr>
          <w:p w14:paraId="6753E759" w14:textId="2A23B433" w:rsidR="00E048DE" w:rsidRPr="0030573B" w:rsidRDefault="00E048DE" w:rsidP="00E048DE">
            <w:pPr>
              <w:jc w:val="center"/>
              <w:rPr>
                <w:rFonts w:ascii="Times New Roman" w:hAnsi="Times New Roman" w:cs="Times New Roman"/>
                <w:sz w:val="20"/>
                <w:szCs w:val="20"/>
              </w:rPr>
            </w:pPr>
            <w:r w:rsidRPr="0030573B">
              <w:rPr>
                <w:rFonts w:ascii="Times New Roman" w:eastAsia="Times New Roman" w:hAnsi="Times New Roman" w:cs="Times New Roman"/>
                <w:color w:val="000000"/>
                <w:sz w:val="20"/>
                <w:szCs w:val="20"/>
              </w:rPr>
              <w:t>Sourgens, Frédéric G.</w:t>
            </w:r>
          </w:p>
        </w:tc>
        <w:tc>
          <w:tcPr>
            <w:tcW w:w="1643" w:type="dxa"/>
            <w:vAlign w:val="center"/>
          </w:tcPr>
          <w:p w14:paraId="18DF3F24" w14:textId="770EBE2B" w:rsidR="00E048DE" w:rsidRPr="0030573B" w:rsidRDefault="00E048DE" w:rsidP="00E048DE">
            <w:pPr>
              <w:jc w:val="center"/>
              <w:rPr>
                <w:rFonts w:ascii="Times New Roman" w:eastAsia="Times New Roman" w:hAnsi="Times New Roman" w:cs="Times New Roman"/>
                <w:i/>
                <w:sz w:val="20"/>
                <w:szCs w:val="20"/>
              </w:rPr>
            </w:pPr>
            <w:r w:rsidRPr="0030573B">
              <w:rPr>
                <w:rFonts w:ascii="Times New Roman" w:eastAsia="Times New Roman" w:hAnsi="Times New Roman" w:cs="Times New Roman"/>
                <w:i/>
                <w:color w:val="000000"/>
                <w:sz w:val="20"/>
                <w:szCs w:val="20"/>
              </w:rPr>
              <w:t>Geo-Markets</w:t>
            </w:r>
          </w:p>
        </w:tc>
        <w:tc>
          <w:tcPr>
            <w:tcW w:w="2160" w:type="dxa"/>
            <w:vAlign w:val="center"/>
          </w:tcPr>
          <w:p w14:paraId="519DB6A5" w14:textId="77777777" w:rsidR="00E048DE" w:rsidRDefault="00E048DE" w:rsidP="00E048DE">
            <w:pPr>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38 VA. ENVTL. L.J. 58</w:t>
            </w:r>
          </w:p>
          <w:p w14:paraId="5D393045" w14:textId="77777777" w:rsidR="00810A75" w:rsidRDefault="00810A75" w:rsidP="00E048DE">
            <w:pPr>
              <w:jc w:val="center"/>
              <w:rPr>
                <w:rFonts w:ascii="Times New Roman" w:eastAsia="Times New Roman" w:hAnsi="Times New Roman" w:cs="Times New Roman"/>
                <w:color w:val="000000"/>
                <w:sz w:val="20"/>
                <w:szCs w:val="20"/>
              </w:rPr>
            </w:pPr>
          </w:p>
          <w:p w14:paraId="75FDB5E2" w14:textId="77777777" w:rsidR="00810A75" w:rsidRPr="00810A75" w:rsidRDefault="00D2267C" w:rsidP="00810A75">
            <w:pPr>
              <w:jc w:val="center"/>
              <w:rPr>
                <w:rFonts w:ascii="Times New Roman" w:eastAsia="Times New Roman" w:hAnsi="Times New Roman" w:cs="Times New Roman"/>
                <w:color w:val="000000"/>
                <w:sz w:val="20"/>
                <w:szCs w:val="20"/>
                <w:lang w:val="fr-FR"/>
              </w:rPr>
            </w:pPr>
            <w:hyperlink r:id="rId21" w:history="1">
              <w:r w:rsidR="00810A75" w:rsidRPr="00810A75">
                <w:rPr>
                  <w:rStyle w:val="Hyperlink"/>
                  <w:rFonts w:ascii="Times New Roman" w:eastAsia="Times New Roman" w:hAnsi="Times New Roman" w:cs="Times New Roman"/>
                  <w:sz w:val="20"/>
                  <w:szCs w:val="20"/>
                  <w:lang w:val="fr-FR"/>
                </w:rPr>
                <w:t>http://www.velj.org/uploads/1/2/7/0/12706894/38.1_sourgens_final_formatted.pdf</w:t>
              </w:r>
            </w:hyperlink>
          </w:p>
          <w:p w14:paraId="4785FA94" w14:textId="2A74C869" w:rsidR="00810A75" w:rsidRPr="0030573B" w:rsidRDefault="00810A75" w:rsidP="00E048DE">
            <w:pPr>
              <w:jc w:val="center"/>
              <w:rPr>
                <w:rFonts w:ascii="Times New Roman" w:eastAsia="Times New Roman" w:hAnsi="Times New Roman" w:cs="Times New Roman"/>
                <w:sz w:val="20"/>
                <w:szCs w:val="20"/>
              </w:rPr>
            </w:pPr>
          </w:p>
        </w:tc>
        <w:tc>
          <w:tcPr>
            <w:tcW w:w="1980" w:type="dxa"/>
            <w:vAlign w:val="center"/>
          </w:tcPr>
          <w:p w14:paraId="79EAE9F0" w14:textId="17B0E9F3" w:rsidR="00E048DE" w:rsidRPr="0030573B" w:rsidRDefault="006344AF" w:rsidP="00E048DE">
            <w:pPr>
              <w:jc w:val="center"/>
              <w:rPr>
                <w:rFonts w:ascii="Times New Roman" w:hAnsi="Times New Roman" w:cs="Times New Roman"/>
                <w:sz w:val="20"/>
                <w:szCs w:val="20"/>
              </w:rPr>
            </w:pPr>
            <w:r>
              <w:rPr>
                <w:rFonts w:ascii="Times New Roman" w:hAnsi="Times New Roman" w:cs="Times New Roman"/>
                <w:sz w:val="20"/>
                <w:szCs w:val="20"/>
              </w:rPr>
              <w:t>Climate Change</w:t>
            </w:r>
          </w:p>
        </w:tc>
        <w:tc>
          <w:tcPr>
            <w:tcW w:w="3690" w:type="dxa"/>
            <w:vAlign w:val="center"/>
          </w:tcPr>
          <w:p w14:paraId="441D84CA" w14:textId="32FA6552" w:rsidR="00E048DE" w:rsidRPr="00257D58" w:rsidRDefault="00810A75" w:rsidP="00E048DE">
            <w:pPr>
              <w:spacing w:after="200"/>
              <w:rPr>
                <w:rFonts w:ascii="Times New Roman" w:hAnsi="Times New Roman" w:cs="Times New Roman"/>
                <w:sz w:val="20"/>
                <w:szCs w:val="20"/>
                <w:highlight w:val="yellow"/>
              </w:rPr>
            </w:pPr>
            <w:proofErr w:type="spellStart"/>
            <w:r w:rsidRPr="00105355">
              <w:rPr>
                <w:rFonts w:ascii="Times New Roman" w:hAnsi="Times New Roman" w:cs="Times New Roman"/>
                <w:sz w:val="20"/>
                <w:szCs w:val="20"/>
              </w:rPr>
              <w:t>Geomarkets</w:t>
            </w:r>
            <w:proofErr w:type="spellEnd"/>
            <w:r w:rsidRPr="00105355">
              <w:rPr>
                <w:rFonts w:ascii="Times New Roman" w:hAnsi="Times New Roman" w:cs="Times New Roman"/>
                <w:sz w:val="20"/>
                <w:szCs w:val="20"/>
              </w:rPr>
              <w:t xml:space="preserve">, in which government issuers pay a guaranteed price per ton of GHG </w:t>
            </w:r>
            <w:r w:rsidR="00257D58" w:rsidRPr="00105355">
              <w:rPr>
                <w:rFonts w:ascii="Times New Roman" w:hAnsi="Times New Roman" w:cs="Times New Roman"/>
                <w:sz w:val="20"/>
                <w:szCs w:val="20"/>
              </w:rPr>
              <w:t>“</w:t>
            </w:r>
            <w:r w:rsidRPr="00105355">
              <w:rPr>
                <w:rFonts w:ascii="Times New Roman" w:hAnsi="Times New Roman" w:cs="Times New Roman"/>
                <w:sz w:val="20"/>
                <w:szCs w:val="20"/>
              </w:rPr>
              <w:t>produced</w:t>
            </w:r>
            <w:r w:rsidR="00257D58" w:rsidRPr="00105355">
              <w:rPr>
                <w:rFonts w:ascii="Times New Roman" w:hAnsi="Times New Roman" w:cs="Times New Roman"/>
                <w:sz w:val="20"/>
                <w:szCs w:val="20"/>
              </w:rPr>
              <w:t>”</w:t>
            </w:r>
            <w:r w:rsidRPr="00105355">
              <w:rPr>
                <w:rFonts w:ascii="Times New Roman" w:hAnsi="Times New Roman" w:cs="Times New Roman"/>
                <w:sz w:val="20"/>
                <w:szCs w:val="20"/>
              </w:rPr>
              <w:t xml:space="preserve"> and holders of freely transferable licenses agree to a GHG removal quota, would 1) address the total accumulation of atmospheric GHGs; 2) provide capital with which governments can finance additional market mitigation efforts, and 3) redistribute how the costs of net reductions in GHG emissions are borne to buyout and overcome reliance </w:t>
            </w:r>
            <w:r w:rsidR="00257D58" w:rsidRPr="00105355">
              <w:rPr>
                <w:rFonts w:ascii="Times New Roman" w:hAnsi="Times New Roman" w:cs="Times New Roman"/>
                <w:sz w:val="20"/>
                <w:szCs w:val="20"/>
              </w:rPr>
              <w:t>on fossil fuel infrastructures—</w:t>
            </w:r>
            <w:r w:rsidRPr="00105355">
              <w:rPr>
                <w:rFonts w:ascii="Times New Roman" w:hAnsi="Times New Roman" w:cs="Times New Roman"/>
                <w:sz w:val="20"/>
                <w:szCs w:val="20"/>
              </w:rPr>
              <w:t>these markets should also be integrated with a solar radiation management market as a stop gap measure against worst-case climate change sce</w:t>
            </w:r>
            <w:r w:rsidR="00680AB5" w:rsidRPr="00105355">
              <w:rPr>
                <w:rFonts w:ascii="Times New Roman" w:hAnsi="Times New Roman" w:cs="Times New Roman"/>
                <w:sz w:val="20"/>
                <w:szCs w:val="20"/>
              </w:rPr>
              <w:t xml:space="preserve">narios. </w:t>
            </w:r>
          </w:p>
        </w:tc>
      </w:tr>
      <w:tr w:rsidR="00E048DE" w:rsidRPr="0030573B" w14:paraId="6D5716D4" w14:textId="77777777" w:rsidTr="00A07838">
        <w:trPr>
          <w:cantSplit/>
        </w:trPr>
        <w:tc>
          <w:tcPr>
            <w:tcW w:w="1435" w:type="dxa"/>
            <w:vAlign w:val="center"/>
          </w:tcPr>
          <w:p w14:paraId="1F81DFD5" w14:textId="53826BD9" w:rsidR="00E048DE" w:rsidRPr="0030573B" w:rsidRDefault="00E048DE" w:rsidP="00E048DE">
            <w:pPr>
              <w:jc w:val="center"/>
              <w:rPr>
                <w:rFonts w:ascii="Times New Roman" w:hAnsi="Times New Roman" w:cs="Times New Roman"/>
                <w:sz w:val="20"/>
                <w:szCs w:val="20"/>
              </w:rPr>
            </w:pPr>
            <w:r w:rsidRPr="0030573B">
              <w:rPr>
                <w:rFonts w:ascii="Times New Roman" w:eastAsia="Times New Roman" w:hAnsi="Times New Roman" w:cs="Times New Roman"/>
                <w:color w:val="000000"/>
                <w:sz w:val="20"/>
                <w:szCs w:val="20"/>
              </w:rPr>
              <w:t>Van Loo, Rory</w:t>
            </w:r>
          </w:p>
        </w:tc>
        <w:tc>
          <w:tcPr>
            <w:tcW w:w="1643" w:type="dxa"/>
            <w:vAlign w:val="center"/>
          </w:tcPr>
          <w:p w14:paraId="5474B9AE" w14:textId="27EF89D2" w:rsidR="00E048DE" w:rsidRPr="0030573B" w:rsidRDefault="00E048DE" w:rsidP="00E048DE">
            <w:pPr>
              <w:jc w:val="center"/>
              <w:rPr>
                <w:rFonts w:ascii="Times New Roman" w:hAnsi="Times New Roman" w:cs="Times New Roman"/>
                <w:i/>
                <w:sz w:val="20"/>
                <w:szCs w:val="20"/>
              </w:rPr>
            </w:pPr>
            <w:r w:rsidRPr="0030573B">
              <w:rPr>
                <w:rFonts w:ascii="Times New Roman" w:eastAsia="Times New Roman" w:hAnsi="Times New Roman" w:cs="Times New Roman"/>
                <w:i/>
                <w:color w:val="000000"/>
                <w:sz w:val="20"/>
                <w:szCs w:val="20"/>
              </w:rPr>
              <w:t xml:space="preserve">The </w:t>
            </w:r>
            <w:r w:rsidR="0029477C">
              <w:rPr>
                <w:rFonts w:ascii="Times New Roman" w:eastAsia="Times New Roman" w:hAnsi="Times New Roman" w:cs="Times New Roman"/>
                <w:i/>
                <w:color w:val="000000"/>
                <w:sz w:val="20"/>
                <w:szCs w:val="20"/>
              </w:rPr>
              <w:t>New Gatekeepers: Private Firms a</w:t>
            </w:r>
            <w:r w:rsidRPr="0030573B">
              <w:rPr>
                <w:rFonts w:ascii="Times New Roman" w:eastAsia="Times New Roman" w:hAnsi="Times New Roman" w:cs="Times New Roman"/>
                <w:i/>
                <w:color w:val="000000"/>
                <w:sz w:val="20"/>
                <w:szCs w:val="20"/>
              </w:rPr>
              <w:t>s Public Enforcers</w:t>
            </w:r>
          </w:p>
        </w:tc>
        <w:tc>
          <w:tcPr>
            <w:tcW w:w="2160" w:type="dxa"/>
            <w:vAlign w:val="center"/>
          </w:tcPr>
          <w:p w14:paraId="121A768C" w14:textId="77777777" w:rsidR="00E048DE" w:rsidRDefault="00E048DE" w:rsidP="00E048DE">
            <w:pPr>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106 VA. L. REV. 467</w:t>
            </w:r>
          </w:p>
          <w:p w14:paraId="4105C5CB" w14:textId="77777777" w:rsidR="004B66F0" w:rsidRDefault="004B66F0" w:rsidP="00E048DE">
            <w:pPr>
              <w:jc w:val="center"/>
              <w:rPr>
                <w:rFonts w:ascii="Times New Roman" w:eastAsia="Times New Roman" w:hAnsi="Times New Roman" w:cs="Times New Roman"/>
                <w:color w:val="000000"/>
                <w:sz w:val="20"/>
                <w:szCs w:val="20"/>
              </w:rPr>
            </w:pPr>
          </w:p>
          <w:p w14:paraId="1D04371B" w14:textId="1581CCFF" w:rsidR="004B66F0" w:rsidRPr="0030573B" w:rsidRDefault="00D2267C" w:rsidP="00E048DE">
            <w:pPr>
              <w:jc w:val="center"/>
              <w:rPr>
                <w:rFonts w:ascii="Times New Roman" w:eastAsia="Times New Roman" w:hAnsi="Times New Roman" w:cs="Times New Roman"/>
                <w:sz w:val="20"/>
                <w:szCs w:val="20"/>
              </w:rPr>
            </w:pPr>
            <w:hyperlink r:id="rId22" w:history="1">
              <w:r w:rsidR="004B66F0" w:rsidRPr="004B66F0">
                <w:rPr>
                  <w:rStyle w:val="Hyperlink"/>
                  <w:rFonts w:ascii="Times New Roman" w:eastAsia="Times New Roman" w:hAnsi="Times New Roman" w:cs="Times New Roman"/>
                  <w:sz w:val="20"/>
                  <w:szCs w:val="20"/>
                </w:rPr>
                <w:t>https://www.virginialawreview.org/sites/virginialawreview.org/files/VanLoo_Book.pdf</w:t>
              </w:r>
            </w:hyperlink>
            <w:r w:rsidR="004B66F0" w:rsidRPr="004B66F0">
              <w:rPr>
                <w:rFonts w:ascii="Times New Roman" w:eastAsia="Times New Roman" w:hAnsi="Times New Roman" w:cs="Times New Roman"/>
                <w:color w:val="000000"/>
                <w:sz w:val="20"/>
                <w:szCs w:val="20"/>
              </w:rPr>
              <w:t> </w:t>
            </w:r>
          </w:p>
        </w:tc>
        <w:tc>
          <w:tcPr>
            <w:tcW w:w="1980" w:type="dxa"/>
            <w:vAlign w:val="center"/>
          </w:tcPr>
          <w:p w14:paraId="45C2DA0E" w14:textId="251A39D2" w:rsidR="00E048DE" w:rsidRPr="0030573B" w:rsidRDefault="004B66F0" w:rsidP="00294F4F">
            <w:pPr>
              <w:jc w:val="center"/>
              <w:rPr>
                <w:rFonts w:ascii="Times New Roman" w:hAnsi="Times New Roman" w:cs="Times New Roman"/>
                <w:sz w:val="20"/>
                <w:szCs w:val="20"/>
              </w:rPr>
            </w:pPr>
            <w:r>
              <w:rPr>
                <w:rFonts w:ascii="Times New Roman" w:hAnsi="Times New Roman" w:cs="Times New Roman"/>
                <w:sz w:val="20"/>
                <w:szCs w:val="20"/>
              </w:rPr>
              <w:t>Governance</w:t>
            </w:r>
          </w:p>
        </w:tc>
        <w:tc>
          <w:tcPr>
            <w:tcW w:w="3690" w:type="dxa"/>
            <w:vAlign w:val="center"/>
          </w:tcPr>
          <w:p w14:paraId="5F341D5B" w14:textId="49FF29ED" w:rsidR="00E048DE" w:rsidRPr="0030573B" w:rsidRDefault="004B66F0" w:rsidP="00E048DE">
            <w:pPr>
              <w:autoSpaceDE w:val="0"/>
              <w:autoSpaceDN w:val="0"/>
              <w:adjustRightInd w:val="0"/>
              <w:rPr>
                <w:rFonts w:ascii="Times New Roman" w:hAnsi="Times New Roman" w:cs="Times New Roman"/>
                <w:sz w:val="20"/>
                <w:szCs w:val="20"/>
              </w:rPr>
            </w:pPr>
            <w:r w:rsidRPr="004B66F0">
              <w:rPr>
                <w:rFonts w:ascii="Times New Roman" w:hAnsi="Times New Roman" w:cs="Times New Roman"/>
                <w:sz w:val="20"/>
                <w:szCs w:val="20"/>
              </w:rPr>
              <w:t xml:space="preserve">The regulatory state has increasingly conscripted large companies to become “enforcer-firms” to fill regulatory gaps left by resource-limited regulatory agencies with less sophisticated industry knowledge, but the role of enforcer-firms should be carefully designed—whether firms are drafted into a rulemaking or enforcement role—to ensure that the enforcer-firms are accountable to the public and provide adequate transparency.  </w:t>
            </w:r>
          </w:p>
        </w:tc>
      </w:tr>
      <w:tr w:rsidR="00E048DE" w:rsidRPr="0030573B" w14:paraId="0EED1E9E" w14:textId="77777777" w:rsidTr="00A07838">
        <w:trPr>
          <w:cantSplit/>
        </w:trPr>
        <w:tc>
          <w:tcPr>
            <w:tcW w:w="1435" w:type="dxa"/>
            <w:vAlign w:val="center"/>
          </w:tcPr>
          <w:p w14:paraId="4113BD00" w14:textId="5D57D6C1" w:rsidR="00E048DE" w:rsidRPr="0030573B" w:rsidRDefault="00E048DE" w:rsidP="00E048DE">
            <w:pPr>
              <w:jc w:val="center"/>
              <w:rPr>
                <w:rFonts w:ascii="Times New Roman" w:hAnsi="Times New Roman" w:cs="Times New Roman"/>
                <w:sz w:val="20"/>
                <w:szCs w:val="20"/>
              </w:rPr>
            </w:pPr>
            <w:r w:rsidRPr="0030573B">
              <w:rPr>
                <w:rFonts w:ascii="Times New Roman" w:eastAsia="Times New Roman" w:hAnsi="Times New Roman" w:cs="Times New Roman"/>
                <w:color w:val="000000"/>
                <w:sz w:val="20"/>
                <w:szCs w:val="20"/>
              </w:rPr>
              <w:lastRenderedPageBreak/>
              <w:t>Webb, Romany M.</w:t>
            </w:r>
          </w:p>
        </w:tc>
        <w:tc>
          <w:tcPr>
            <w:tcW w:w="1643" w:type="dxa"/>
            <w:vAlign w:val="center"/>
          </w:tcPr>
          <w:p w14:paraId="2D4677C0" w14:textId="5ABABC60" w:rsidR="00E048DE" w:rsidRPr="0030573B" w:rsidRDefault="0029477C" w:rsidP="00E048DE">
            <w:pPr>
              <w:jc w:val="center"/>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Climate Change, FERC, a</w:t>
            </w:r>
            <w:r w:rsidR="00E048DE" w:rsidRPr="0030573B">
              <w:rPr>
                <w:rFonts w:ascii="Times New Roman" w:eastAsia="Times New Roman" w:hAnsi="Times New Roman" w:cs="Times New Roman"/>
                <w:i/>
                <w:color w:val="000000"/>
                <w:sz w:val="20"/>
                <w:szCs w:val="20"/>
              </w:rPr>
              <w:t xml:space="preserve">nd Natural Gas Pipelines: The Legal Basis For Considering Greenhouse </w:t>
            </w:r>
            <w:r>
              <w:rPr>
                <w:rFonts w:ascii="Times New Roman" w:eastAsia="Times New Roman" w:hAnsi="Times New Roman" w:cs="Times New Roman"/>
                <w:i/>
                <w:color w:val="000000"/>
                <w:sz w:val="20"/>
                <w:szCs w:val="20"/>
              </w:rPr>
              <w:t>Gas Emissions Under Section 7 of t</w:t>
            </w:r>
            <w:r w:rsidR="00E048DE" w:rsidRPr="0030573B">
              <w:rPr>
                <w:rFonts w:ascii="Times New Roman" w:eastAsia="Times New Roman" w:hAnsi="Times New Roman" w:cs="Times New Roman"/>
                <w:i/>
                <w:color w:val="000000"/>
                <w:sz w:val="20"/>
                <w:szCs w:val="20"/>
              </w:rPr>
              <w:t>he Natural Gas Act</w:t>
            </w:r>
          </w:p>
        </w:tc>
        <w:tc>
          <w:tcPr>
            <w:tcW w:w="2160" w:type="dxa"/>
            <w:vAlign w:val="center"/>
          </w:tcPr>
          <w:p w14:paraId="5405A109" w14:textId="77777777" w:rsidR="00E048DE" w:rsidRDefault="00E048DE" w:rsidP="00E048DE">
            <w:pPr>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28 N.Y.U. ENVTL. L.J. 179</w:t>
            </w:r>
          </w:p>
          <w:p w14:paraId="4C7B182B" w14:textId="77777777" w:rsidR="005D255A" w:rsidRDefault="005D255A" w:rsidP="00E048DE">
            <w:pPr>
              <w:jc w:val="center"/>
              <w:rPr>
                <w:rFonts w:ascii="Times New Roman" w:eastAsia="Times New Roman" w:hAnsi="Times New Roman" w:cs="Times New Roman"/>
                <w:color w:val="000000"/>
                <w:sz w:val="20"/>
                <w:szCs w:val="20"/>
              </w:rPr>
            </w:pPr>
          </w:p>
          <w:p w14:paraId="1F53981C" w14:textId="77777777" w:rsidR="005D255A" w:rsidRPr="005D255A" w:rsidRDefault="00D2267C" w:rsidP="005D255A">
            <w:pPr>
              <w:jc w:val="center"/>
              <w:rPr>
                <w:rFonts w:ascii="Times New Roman" w:hAnsi="Times New Roman" w:cs="Times New Roman"/>
                <w:sz w:val="20"/>
                <w:szCs w:val="20"/>
              </w:rPr>
            </w:pPr>
            <w:hyperlink r:id="rId23" w:history="1">
              <w:r w:rsidR="005D255A" w:rsidRPr="005D255A">
                <w:rPr>
                  <w:rStyle w:val="Hyperlink"/>
                  <w:rFonts w:ascii="Times New Roman" w:hAnsi="Times New Roman" w:cs="Times New Roman"/>
                  <w:sz w:val="20"/>
                  <w:szCs w:val="20"/>
                </w:rPr>
                <w:t>https://bit.ly/34PE6IE</w:t>
              </w:r>
            </w:hyperlink>
          </w:p>
          <w:p w14:paraId="036CD6EC" w14:textId="76FFC024" w:rsidR="005D255A" w:rsidRPr="0030573B" w:rsidRDefault="005D255A" w:rsidP="00E048DE">
            <w:pPr>
              <w:jc w:val="center"/>
              <w:rPr>
                <w:rFonts w:ascii="Times New Roman" w:hAnsi="Times New Roman" w:cs="Times New Roman"/>
                <w:sz w:val="20"/>
                <w:szCs w:val="20"/>
              </w:rPr>
            </w:pPr>
          </w:p>
        </w:tc>
        <w:tc>
          <w:tcPr>
            <w:tcW w:w="1980" w:type="dxa"/>
            <w:vAlign w:val="center"/>
          </w:tcPr>
          <w:p w14:paraId="017DCADE" w14:textId="6D67E197" w:rsidR="00E048DE" w:rsidRPr="00257D58" w:rsidRDefault="005D255A" w:rsidP="00E048DE">
            <w:pPr>
              <w:jc w:val="center"/>
              <w:rPr>
                <w:rFonts w:ascii="Times New Roman" w:hAnsi="Times New Roman" w:cs="Times New Roman"/>
                <w:sz w:val="20"/>
                <w:szCs w:val="20"/>
                <w:highlight w:val="yellow"/>
              </w:rPr>
            </w:pPr>
            <w:r w:rsidRPr="00752D41">
              <w:rPr>
                <w:rFonts w:ascii="Times New Roman" w:hAnsi="Times New Roman" w:cs="Times New Roman"/>
                <w:sz w:val="20"/>
                <w:szCs w:val="20"/>
              </w:rPr>
              <w:t>Energy</w:t>
            </w:r>
            <w:r w:rsidR="00257D58" w:rsidRPr="00752D41">
              <w:rPr>
                <w:rFonts w:ascii="Times New Roman" w:hAnsi="Times New Roman" w:cs="Times New Roman"/>
                <w:sz w:val="20"/>
                <w:szCs w:val="20"/>
              </w:rPr>
              <w:t>/Climate Change</w:t>
            </w:r>
          </w:p>
        </w:tc>
        <w:tc>
          <w:tcPr>
            <w:tcW w:w="3690" w:type="dxa"/>
            <w:vAlign w:val="center"/>
          </w:tcPr>
          <w:p w14:paraId="33C7778E" w14:textId="37E01BDA" w:rsidR="00D33993" w:rsidRPr="00D33993" w:rsidRDefault="00D33993" w:rsidP="00D33993">
            <w:pPr>
              <w:rPr>
                <w:rFonts w:ascii="Times New Roman" w:hAnsi="Times New Roman" w:cs="Times New Roman"/>
                <w:sz w:val="20"/>
                <w:szCs w:val="20"/>
              </w:rPr>
            </w:pPr>
            <w:r w:rsidRPr="00D33993">
              <w:rPr>
                <w:rFonts w:ascii="Times New Roman" w:hAnsi="Times New Roman" w:cs="Times New Roman"/>
                <w:sz w:val="20"/>
                <w:szCs w:val="20"/>
              </w:rPr>
              <w:t>In evaluating whether new pipelines serve public convenience and necessity, the Federal Energy Regulatory Commission (FERC) reports that it considers both environmental and economic factors; however, data analysis of approvals</w:t>
            </w:r>
            <w:r>
              <w:rPr>
                <w:rFonts w:ascii="Times New Roman" w:hAnsi="Times New Roman" w:cs="Times New Roman"/>
                <w:sz w:val="20"/>
                <w:szCs w:val="20"/>
              </w:rPr>
              <w:t xml:space="preserve"> </w:t>
            </w:r>
            <w:r w:rsidRPr="00D33993">
              <w:rPr>
                <w:rFonts w:ascii="Times New Roman" w:hAnsi="Times New Roman" w:cs="Times New Roman"/>
                <w:sz w:val="20"/>
                <w:szCs w:val="20"/>
              </w:rPr>
              <w:t>between 2014-2018 shows that FERC frequently justifies certification decisions solely on economic grounds, which is a violation of section 7 of the Natural Gas Act—going forward, FERC must be satisfied that the economic benefits outweigh potential climate change and other environmental impacts in approving new pipelines.</w:t>
            </w:r>
          </w:p>
          <w:p w14:paraId="51DC63CA" w14:textId="34B235D2" w:rsidR="00E048DE" w:rsidRPr="0030573B" w:rsidRDefault="00E048DE" w:rsidP="00401B6A">
            <w:pPr>
              <w:rPr>
                <w:rFonts w:ascii="Times New Roman" w:hAnsi="Times New Roman" w:cs="Times New Roman"/>
                <w:sz w:val="20"/>
                <w:szCs w:val="20"/>
              </w:rPr>
            </w:pPr>
          </w:p>
        </w:tc>
      </w:tr>
      <w:tr w:rsidR="00E048DE" w:rsidRPr="0030573B" w14:paraId="58D791CC" w14:textId="77777777" w:rsidTr="00A07838">
        <w:trPr>
          <w:cantSplit/>
        </w:trPr>
        <w:tc>
          <w:tcPr>
            <w:tcW w:w="1435" w:type="dxa"/>
            <w:vAlign w:val="center"/>
          </w:tcPr>
          <w:p w14:paraId="39BC575C" w14:textId="42F5156E" w:rsidR="00E048DE" w:rsidRPr="0030573B" w:rsidRDefault="00E048DE" w:rsidP="00E048DE">
            <w:pPr>
              <w:jc w:val="center"/>
              <w:rPr>
                <w:rFonts w:ascii="Times New Roman" w:hAnsi="Times New Roman" w:cs="Times New Roman"/>
                <w:sz w:val="20"/>
                <w:szCs w:val="20"/>
              </w:rPr>
            </w:pPr>
            <w:r w:rsidRPr="0030573B">
              <w:rPr>
                <w:rFonts w:ascii="Times New Roman" w:eastAsia="Times New Roman" w:hAnsi="Times New Roman" w:cs="Times New Roman"/>
                <w:color w:val="000000"/>
                <w:sz w:val="20"/>
                <w:szCs w:val="20"/>
              </w:rPr>
              <w:t>Welton, Shelley</w:t>
            </w:r>
          </w:p>
        </w:tc>
        <w:tc>
          <w:tcPr>
            <w:tcW w:w="1643" w:type="dxa"/>
            <w:vAlign w:val="center"/>
          </w:tcPr>
          <w:p w14:paraId="09703499" w14:textId="17DE0B1B" w:rsidR="00E048DE" w:rsidRPr="0030573B" w:rsidRDefault="0029477C" w:rsidP="00E048DE">
            <w:pPr>
              <w:jc w:val="center"/>
              <w:rPr>
                <w:rFonts w:ascii="Times New Roman" w:hAnsi="Times New Roman" w:cs="Times New Roman"/>
                <w:i/>
                <w:sz w:val="20"/>
                <w:szCs w:val="20"/>
              </w:rPr>
            </w:pPr>
            <w:r>
              <w:rPr>
                <w:rFonts w:ascii="Times New Roman" w:eastAsia="Times New Roman" w:hAnsi="Times New Roman" w:cs="Times New Roman"/>
                <w:i/>
                <w:color w:val="000000"/>
                <w:sz w:val="20"/>
                <w:szCs w:val="20"/>
              </w:rPr>
              <w:t>Decarbonization i</w:t>
            </w:r>
            <w:r w:rsidR="00E048DE" w:rsidRPr="0030573B">
              <w:rPr>
                <w:rFonts w:ascii="Times New Roman" w:eastAsia="Times New Roman" w:hAnsi="Times New Roman" w:cs="Times New Roman"/>
                <w:i/>
                <w:color w:val="000000"/>
                <w:sz w:val="20"/>
                <w:szCs w:val="20"/>
              </w:rPr>
              <w:t>n Democracy</w:t>
            </w:r>
          </w:p>
        </w:tc>
        <w:tc>
          <w:tcPr>
            <w:tcW w:w="2160" w:type="dxa"/>
            <w:vAlign w:val="center"/>
          </w:tcPr>
          <w:p w14:paraId="5FE8EC3F" w14:textId="240EB58E" w:rsidR="00E048DE" w:rsidRDefault="00E048DE" w:rsidP="00E048DE">
            <w:pPr>
              <w:autoSpaceDE w:val="0"/>
              <w:autoSpaceDN w:val="0"/>
              <w:adjustRightInd w:val="0"/>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67 UCLA</w:t>
            </w:r>
            <w:r w:rsidR="00961DE6">
              <w:rPr>
                <w:rFonts w:ascii="Times New Roman" w:eastAsia="Times New Roman" w:hAnsi="Times New Roman" w:cs="Times New Roman"/>
                <w:color w:val="000000"/>
                <w:sz w:val="20"/>
                <w:szCs w:val="20"/>
              </w:rPr>
              <w:t xml:space="preserve"> </w:t>
            </w:r>
            <w:r w:rsidRPr="0030573B">
              <w:rPr>
                <w:rFonts w:ascii="Times New Roman" w:eastAsia="Times New Roman" w:hAnsi="Times New Roman" w:cs="Times New Roman"/>
                <w:color w:val="000000"/>
                <w:sz w:val="20"/>
                <w:szCs w:val="20"/>
              </w:rPr>
              <w:t>L</w:t>
            </w:r>
            <w:r w:rsidR="00961DE6">
              <w:rPr>
                <w:rFonts w:ascii="Times New Roman" w:eastAsia="Times New Roman" w:hAnsi="Times New Roman" w:cs="Times New Roman"/>
                <w:color w:val="000000"/>
                <w:sz w:val="20"/>
                <w:szCs w:val="20"/>
              </w:rPr>
              <w:t xml:space="preserve">. </w:t>
            </w:r>
            <w:r w:rsidRPr="0030573B">
              <w:rPr>
                <w:rFonts w:ascii="Times New Roman" w:eastAsia="Times New Roman" w:hAnsi="Times New Roman" w:cs="Times New Roman"/>
                <w:color w:val="000000"/>
                <w:sz w:val="20"/>
                <w:szCs w:val="20"/>
              </w:rPr>
              <w:t>R</w:t>
            </w:r>
            <w:r w:rsidR="00961DE6">
              <w:rPr>
                <w:rFonts w:ascii="Times New Roman" w:eastAsia="Times New Roman" w:hAnsi="Times New Roman" w:cs="Times New Roman"/>
                <w:color w:val="000000"/>
                <w:sz w:val="20"/>
                <w:szCs w:val="20"/>
              </w:rPr>
              <w:t>EV.</w:t>
            </w:r>
            <w:r w:rsidRPr="0030573B">
              <w:rPr>
                <w:rFonts w:ascii="Times New Roman" w:eastAsia="Times New Roman" w:hAnsi="Times New Roman" w:cs="Times New Roman"/>
                <w:color w:val="000000"/>
                <w:sz w:val="20"/>
                <w:szCs w:val="20"/>
              </w:rPr>
              <w:t xml:space="preserve"> 56</w:t>
            </w:r>
          </w:p>
          <w:p w14:paraId="1B7A26CD" w14:textId="77777777" w:rsidR="00E70916" w:rsidRDefault="00E70916" w:rsidP="00E048DE">
            <w:pPr>
              <w:autoSpaceDE w:val="0"/>
              <w:autoSpaceDN w:val="0"/>
              <w:adjustRightInd w:val="0"/>
              <w:jc w:val="center"/>
              <w:rPr>
                <w:rFonts w:ascii="Times New Roman" w:eastAsia="Times New Roman" w:hAnsi="Times New Roman" w:cs="Times New Roman"/>
                <w:color w:val="000000"/>
                <w:sz w:val="20"/>
                <w:szCs w:val="20"/>
              </w:rPr>
            </w:pPr>
          </w:p>
          <w:p w14:paraId="6A05AB00" w14:textId="77777777" w:rsidR="00E70916" w:rsidRPr="00E70916" w:rsidRDefault="00D2267C" w:rsidP="00E70916">
            <w:pPr>
              <w:autoSpaceDE w:val="0"/>
              <w:autoSpaceDN w:val="0"/>
              <w:adjustRightInd w:val="0"/>
              <w:jc w:val="center"/>
              <w:rPr>
                <w:rFonts w:ascii="Times New Roman" w:hAnsi="Times New Roman" w:cs="Times New Roman"/>
                <w:sz w:val="20"/>
                <w:szCs w:val="20"/>
              </w:rPr>
            </w:pPr>
            <w:hyperlink r:id="rId24" w:history="1">
              <w:r w:rsidR="00E70916" w:rsidRPr="00E70916">
                <w:rPr>
                  <w:rStyle w:val="Hyperlink"/>
                  <w:rFonts w:ascii="Times New Roman" w:hAnsi="Times New Roman" w:cs="Times New Roman"/>
                  <w:sz w:val="20"/>
                  <w:szCs w:val="20"/>
                </w:rPr>
                <w:t>https://www.uclalawreview.org/wp-content/uploads/securepdfs/2020/07/Welton-67-1.pdf</w:t>
              </w:r>
            </w:hyperlink>
          </w:p>
          <w:p w14:paraId="309E92B2" w14:textId="05BC14E4" w:rsidR="00E70916" w:rsidRPr="0030573B" w:rsidRDefault="00E70916" w:rsidP="00E048DE">
            <w:pPr>
              <w:autoSpaceDE w:val="0"/>
              <w:autoSpaceDN w:val="0"/>
              <w:adjustRightInd w:val="0"/>
              <w:jc w:val="center"/>
              <w:rPr>
                <w:rFonts w:ascii="Times New Roman" w:hAnsi="Times New Roman" w:cs="Times New Roman"/>
                <w:sz w:val="20"/>
                <w:szCs w:val="20"/>
              </w:rPr>
            </w:pPr>
          </w:p>
        </w:tc>
        <w:tc>
          <w:tcPr>
            <w:tcW w:w="1980" w:type="dxa"/>
            <w:vAlign w:val="center"/>
          </w:tcPr>
          <w:p w14:paraId="4E6E8A95" w14:textId="15CA86FF" w:rsidR="00E048DE" w:rsidRPr="00401B6A" w:rsidRDefault="00401B6A" w:rsidP="00E048DE">
            <w:pPr>
              <w:jc w:val="center"/>
              <w:rPr>
                <w:rFonts w:ascii="Times New Roman" w:hAnsi="Times New Roman" w:cs="Times New Roman"/>
                <w:sz w:val="20"/>
                <w:szCs w:val="20"/>
                <w:highlight w:val="yellow"/>
              </w:rPr>
            </w:pPr>
            <w:r w:rsidRPr="00752D41">
              <w:rPr>
                <w:rFonts w:ascii="Times New Roman" w:hAnsi="Times New Roman" w:cs="Times New Roman"/>
                <w:sz w:val="20"/>
                <w:szCs w:val="20"/>
              </w:rPr>
              <w:t>Energy/</w:t>
            </w:r>
            <w:r w:rsidR="00252414" w:rsidRPr="00752D41">
              <w:rPr>
                <w:rFonts w:ascii="Times New Roman" w:hAnsi="Times New Roman" w:cs="Times New Roman"/>
                <w:sz w:val="20"/>
                <w:szCs w:val="20"/>
              </w:rPr>
              <w:t>Climate Change</w:t>
            </w:r>
          </w:p>
        </w:tc>
        <w:tc>
          <w:tcPr>
            <w:tcW w:w="3690" w:type="dxa"/>
            <w:vAlign w:val="center"/>
          </w:tcPr>
          <w:p w14:paraId="7C8BAD48" w14:textId="55C4AFCF" w:rsidR="00F7350A" w:rsidRPr="00F7350A" w:rsidRDefault="00F7350A" w:rsidP="00F7350A">
            <w:pPr>
              <w:rPr>
                <w:rFonts w:ascii="Times New Roman" w:hAnsi="Times New Roman" w:cs="Times New Roman"/>
                <w:sz w:val="20"/>
                <w:szCs w:val="20"/>
              </w:rPr>
            </w:pPr>
            <w:r w:rsidRPr="00F7350A">
              <w:rPr>
                <w:rFonts w:ascii="Times New Roman" w:hAnsi="Times New Roman" w:cs="Times New Roman"/>
                <w:sz w:val="20"/>
                <w:szCs w:val="20"/>
              </w:rPr>
              <w:t xml:space="preserve">Scholars and policymakers have underestimated the ways in which more citizen engagement might strengthen, not weaken, climate change policies, through measures including: (1) requiring utilities to report on citizen preferences in their integrated resource plans, and (2) putting more control over energy sourcing decisions in the hands of local communities. </w:t>
            </w:r>
          </w:p>
          <w:p w14:paraId="01C760C2" w14:textId="3C5816CF" w:rsidR="00E048DE" w:rsidRPr="0030573B" w:rsidRDefault="00E048DE" w:rsidP="00E048DE">
            <w:pPr>
              <w:rPr>
                <w:rFonts w:ascii="Times New Roman" w:hAnsi="Times New Roman" w:cs="Times New Roman"/>
                <w:sz w:val="20"/>
                <w:szCs w:val="20"/>
              </w:rPr>
            </w:pPr>
          </w:p>
        </w:tc>
      </w:tr>
      <w:tr w:rsidR="00E048DE" w:rsidRPr="007A453D" w14:paraId="6EC45A6A" w14:textId="77777777" w:rsidTr="00A07838">
        <w:trPr>
          <w:cantSplit/>
          <w:trHeight w:val="242"/>
        </w:trPr>
        <w:tc>
          <w:tcPr>
            <w:tcW w:w="1435" w:type="dxa"/>
            <w:vAlign w:val="center"/>
          </w:tcPr>
          <w:p w14:paraId="2807560D" w14:textId="31395CDF" w:rsidR="00E048DE" w:rsidRPr="0030573B" w:rsidRDefault="00E048DE" w:rsidP="00E048DE">
            <w:pPr>
              <w:jc w:val="center"/>
              <w:rPr>
                <w:rFonts w:ascii="Times New Roman" w:hAnsi="Times New Roman" w:cs="Times New Roman"/>
                <w:sz w:val="20"/>
                <w:szCs w:val="20"/>
              </w:rPr>
            </w:pPr>
            <w:r w:rsidRPr="0030573B">
              <w:rPr>
                <w:rFonts w:ascii="Times New Roman" w:eastAsia="Times New Roman" w:hAnsi="Times New Roman" w:cs="Times New Roman"/>
                <w:color w:val="000000"/>
                <w:sz w:val="20"/>
                <w:szCs w:val="20"/>
              </w:rPr>
              <w:t>Wyman, Katrina M.</w:t>
            </w:r>
            <w:r w:rsidR="00511A1A">
              <w:rPr>
                <w:rFonts w:ascii="Times New Roman" w:eastAsia="Times New Roman" w:hAnsi="Times New Roman" w:cs="Times New Roman"/>
                <w:color w:val="000000"/>
                <w:sz w:val="20"/>
                <w:szCs w:val="20"/>
              </w:rPr>
              <w:t xml:space="preserve">, </w:t>
            </w:r>
            <w:r w:rsidR="00082854">
              <w:rPr>
                <w:rFonts w:ascii="Times New Roman" w:eastAsia="Times New Roman" w:hAnsi="Times New Roman" w:cs="Times New Roman"/>
                <w:color w:val="000000"/>
                <w:sz w:val="20"/>
                <w:szCs w:val="20"/>
              </w:rPr>
              <w:t xml:space="preserve">and </w:t>
            </w:r>
            <w:r w:rsidR="00511A1A">
              <w:rPr>
                <w:rFonts w:ascii="Times New Roman" w:eastAsia="Times New Roman" w:hAnsi="Times New Roman" w:cs="Times New Roman"/>
                <w:color w:val="000000"/>
                <w:sz w:val="20"/>
                <w:szCs w:val="20"/>
              </w:rPr>
              <w:t>Danielle Spiegel-Feld</w:t>
            </w:r>
          </w:p>
        </w:tc>
        <w:tc>
          <w:tcPr>
            <w:tcW w:w="1643" w:type="dxa"/>
            <w:vAlign w:val="center"/>
          </w:tcPr>
          <w:p w14:paraId="3C7CE7DF" w14:textId="79F731AD" w:rsidR="00E048DE" w:rsidRPr="0030573B" w:rsidRDefault="00E048DE" w:rsidP="00E048DE">
            <w:pPr>
              <w:jc w:val="center"/>
              <w:rPr>
                <w:rFonts w:ascii="Times New Roman" w:hAnsi="Times New Roman" w:cs="Times New Roman"/>
                <w:i/>
                <w:sz w:val="20"/>
                <w:szCs w:val="20"/>
              </w:rPr>
            </w:pPr>
            <w:r w:rsidRPr="0030573B">
              <w:rPr>
                <w:rFonts w:ascii="Times New Roman" w:eastAsia="Times New Roman" w:hAnsi="Times New Roman" w:cs="Times New Roman"/>
                <w:i/>
                <w:color w:val="000000"/>
                <w:sz w:val="20"/>
                <w:szCs w:val="20"/>
              </w:rPr>
              <w:t>The Urban Environmental Renaissance</w:t>
            </w:r>
          </w:p>
        </w:tc>
        <w:tc>
          <w:tcPr>
            <w:tcW w:w="2160" w:type="dxa"/>
            <w:vAlign w:val="center"/>
          </w:tcPr>
          <w:p w14:paraId="4CE70DBC" w14:textId="77777777" w:rsidR="00E048DE" w:rsidRDefault="00E048DE" w:rsidP="00E048DE">
            <w:pPr>
              <w:jc w:val="center"/>
              <w:rPr>
                <w:rFonts w:ascii="Times New Roman" w:eastAsia="Times New Roman" w:hAnsi="Times New Roman" w:cs="Times New Roman"/>
                <w:color w:val="000000"/>
                <w:sz w:val="20"/>
                <w:szCs w:val="20"/>
              </w:rPr>
            </w:pPr>
            <w:r w:rsidRPr="0030573B">
              <w:rPr>
                <w:rFonts w:ascii="Times New Roman" w:eastAsia="Times New Roman" w:hAnsi="Times New Roman" w:cs="Times New Roman"/>
                <w:color w:val="000000"/>
                <w:sz w:val="20"/>
                <w:szCs w:val="20"/>
              </w:rPr>
              <w:t>108 CALIF. L. REV. 305</w:t>
            </w:r>
          </w:p>
          <w:p w14:paraId="3891D6E1" w14:textId="77777777" w:rsidR="00E70916" w:rsidRDefault="00E70916" w:rsidP="00E048DE">
            <w:pPr>
              <w:jc w:val="center"/>
              <w:rPr>
                <w:rFonts w:ascii="Times New Roman" w:eastAsia="Times New Roman" w:hAnsi="Times New Roman" w:cs="Times New Roman"/>
                <w:color w:val="000000"/>
                <w:sz w:val="20"/>
                <w:szCs w:val="20"/>
              </w:rPr>
            </w:pPr>
          </w:p>
          <w:p w14:paraId="4DED4B4E" w14:textId="77777777" w:rsidR="00E70916" w:rsidRPr="00E70916" w:rsidRDefault="00D2267C" w:rsidP="00E70916">
            <w:pPr>
              <w:jc w:val="center"/>
              <w:rPr>
                <w:rFonts w:ascii="Times New Roman" w:eastAsia="Times New Roman" w:hAnsi="Times New Roman" w:cs="Times New Roman"/>
                <w:color w:val="000000"/>
                <w:sz w:val="20"/>
                <w:szCs w:val="20"/>
              </w:rPr>
            </w:pPr>
            <w:hyperlink r:id="rId25" w:history="1">
              <w:r w:rsidR="00E70916" w:rsidRPr="00E70916">
                <w:rPr>
                  <w:rStyle w:val="Hyperlink"/>
                  <w:rFonts w:ascii="Times New Roman" w:eastAsia="Times New Roman" w:hAnsi="Times New Roman" w:cs="Times New Roman"/>
                  <w:sz w:val="20"/>
                  <w:szCs w:val="20"/>
                </w:rPr>
                <w:t>https://bit.ly/35LQUyM</w:t>
              </w:r>
            </w:hyperlink>
          </w:p>
          <w:p w14:paraId="1ED823DD" w14:textId="5706BD1D" w:rsidR="00E70916" w:rsidRPr="0030573B" w:rsidRDefault="00E70916" w:rsidP="00E048DE">
            <w:pPr>
              <w:jc w:val="center"/>
              <w:rPr>
                <w:rFonts w:ascii="Times New Roman" w:hAnsi="Times New Roman" w:cs="Times New Roman"/>
                <w:sz w:val="20"/>
                <w:szCs w:val="20"/>
              </w:rPr>
            </w:pPr>
          </w:p>
        </w:tc>
        <w:tc>
          <w:tcPr>
            <w:tcW w:w="1980" w:type="dxa"/>
            <w:vAlign w:val="center"/>
          </w:tcPr>
          <w:p w14:paraId="64E4A48F" w14:textId="312FB3D8" w:rsidR="00E048DE" w:rsidRPr="0030573B" w:rsidRDefault="006344AF" w:rsidP="00E048DE">
            <w:pPr>
              <w:jc w:val="center"/>
              <w:rPr>
                <w:rFonts w:ascii="Times New Roman" w:hAnsi="Times New Roman" w:cs="Times New Roman"/>
                <w:sz w:val="20"/>
                <w:szCs w:val="20"/>
              </w:rPr>
            </w:pPr>
            <w:r>
              <w:rPr>
                <w:rFonts w:ascii="Times New Roman" w:hAnsi="Times New Roman" w:cs="Times New Roman"/>
                <w:sz w:val="20"/>
                <w:szCs w:val="20"/>
              </w:rPr>
              <w:t>Governance</w:t>
            </w:r>
          </w:p>
        </w:tc>
        <w:tc>
          <w:tcPr>
            <w:tcW w:w="3690" w:type="dxa"/>
            <w:vAlign w:val="center"/>
          </w:tcPr>
          <w:p w14:paraId="482BEAD1" w14:textId="02D5B377" w:rsidR="00E8763C" w:rsidRPr="00E8763C" w:rsidRDefault="00E8763C" w:rsidP="00E8763C">
            <w:pPr>
              <w:rPr>
                <w:rFonts w:ascii="Times New Roman" w:hAnsi="Times New Roman" w:cs="Times New Roman"/>
                <w:sz w:val="20"/>
                <w:szCs w:val="20"/>
              </w:rPr>
            </w:pPr>
            <w:r w:rsidRPr="00E8763C">
              <w:rPr>
                <w:rFonts w:ascii="Times New Roman" w:hAnsi="Times New Roman" w:cs="Times New Roman"/>
                <w:sz w:val="20"/>
                <w:szCs w:val="20"/>
              </w:rPr>
              <w:t>Cities have emerged as leaders in the development of environmental policies, but face obstacle</w:t>
            </w:r>
            <w:r w:rsidR="00A71492">
              <w:rPr>
                <w:rFonts w:ascii="Times New Roman" w:hAnsi="Times New Roman" w:cs="Times New Roman"/>
                <w:sz w:val="20"/>
                <w:szCs w:val="20"/>
              </w:rPr>
              <w:t>s</w:t>
            </w:r>
            <w:r w:rsidRPr="00E8763C">
              <w:rPr>
                <w:rFonts w:ascii="Times New Roman" w:hAnsi="Times New Roman" w:cs="Times New Roman"/>
                <w:sz w:val="20"/>
                <w:szCs w:val="20"/>
              </w:rPr>
              <w:t xml:space="preserve"> </w:t>
            </w:r>
            <w:r w:rsidRPr="00E8763C">
              <w:rPr>
                <w:rFonts w:ascii="Times New Roman" w:hAnsi="Times New Roman" w:cs="Times New Roman"/>
                <w:bCs/>
                <w:sz w:val="20"/>
                <w:szCs w:val="20"/>
              </w:rPr>
              <w:t>to</w:t>
            </w:r>
            <w:r w:rsidRPr="00E8763C">
              <w:rPr>
                <w:rFonts w:ascii="Times New Roman" w:hAnsi="Times New Roman" w:cs="Times New Roman"/>
                <w:sz w:val="20"/>
                <w:szCs w:val="20"/>
              </w:rPr>
              <w:t xml:space="preserve"> achieving their goals</w:t>
            </w:r>
            <w:r w:rsidRPr="00E8763C">
              <w:rPr>
                <w:rFonts w:ascii="Times New Roman" w:hAnsi="Times New Roman" w:cs="Times New Roman"/>
                <w:bCs/>
                <w:sz w:val="20"/>
                <w:szCs w:val="20"/>
              </w:rPr>
              <w:t>, such as</w:t>
            </w:r>
            <w:r w:rsidRPr="00E8763C">
              <w:rPr>
                <w:rFonts w:ascii="Times New Roman" w:hAnsi="Times New Roman" w:cs="Times New Roman"/>
                <w:sz w:val="20"/>
                <w:szCs w:val="20"/>
              </w:rPr>
              <w:t xml:space="preserve"> the pervasive threat of preemption and limits upon their taxation powers</w:t>
            </w:r>
            <w:r w:rsidRPr="00E8763C">
              <w:rPr>
                <w:rFonts w:ascii="Times New Roman" w:hAnsi="Times New Roman" w:cs="Times New Roman"/>
                <w:bCs/>
                <w:sz w:val="20"/>
                <w:szCs w:val="20"/>
              </w:rPr>
              <w:t>, that</w:t>
            </w:r>
            <w:r w:rsidRPr="00E8763C">
              <w:rPr>
                <w:rFonts w:ascii="Times New Roman" w:hAnsi="Times New Roman" w:cs="Times New Roman"/>
                <w:sz w:val="20"/>
                <w:szCs w:val="20"/>
              </w:rPr>
              <w:t xml:space="preserve"> </w:t>
            </w:r>
            <w:r w:rsidRPr="00E8763C">
              <w:rPr>
                <w:rFonts w:ascii="Times New Roman" w:hAnsi="Times New Roman" w:cs="Times New Roman"/>
                <w:bCs/>
                <w:sz w:val="20"/>
                <w:szCs w:val="20"/>
              </w:rPr>
              <w:t xml:space="preserve">could be </w:t>
            </w:r>
            <w:r w:rsidRPr="00E8763C">
              <w:rPr>
                <w:rFonts w:ascii="Times New Roman" w:hAnsi="Times New Roman" w:cs="Times New Roman"/>
                <w:sz w:val="20"/>
                <w:szCs w:val="20"/>
              </w:rPr>
              <w:t>reduced if 1) cities frame environmental pricing regulations as fees, not taxes; 2) state constitutional amendments and legislation allocate greater taxation powers to local jurisdictions; and 3) federal courts take a more discerning approach to interpreting the preemptive force of federal environmental statute.</w:t>
            </w:r>
          </w:p>
          <w:p w14:paraId="3289E288" w14:textId="287C6B44" w:rsidR="00E048DE" w:rsidRPr="00E8763C" w:rsidRDefault="00E048DE" w:rsidP="00E048DE">
            <w:pPr>
              <w:rPr>
                <w:rFonts w:ascii="Times New Roman" w:hAnsi="Times New Roman" w:cs="Times New Roman"/>
                <w:sz w:val="20"/>
                <w:szCs w:val="20"/>
                <w:highlight w:val="yellow"/>
              </w:rPr>
            </w:pPr>
          </w:p>
        </w:tc>
      </w:tr>
    </w:tbl>
    <w:p w14:paraId="0DFEBDF0" w14:textId="0C3F7ABE" w:rsidR="00202DB8" w:rsidRDefault="00202DB8" w:rsidP="0009370A">
      <w:pPr>
        <w:rPr>
          <w:rFonts w:ascii="Times New Roman" w:hAnsi="Times New Roman" w:cs="Times New Roman"/>
          <w:sz w:val="20"/>
          <w:szCs w:val="20"/>
        </w:rPr>
      </w:pPr>
    </w:p>
    <w:p w14:paraId="7A547CB3" w14:textId="1640C947" w:rsidR="0035336D" w:rsidRDefault="0035336D" w:rsidP="0009370A">
      <w:pPr>
        <w:rPr>
          <w:rFonts w:ascii="Times New Roman" w:hAnsi="Times New Roman" w:cs="Times New Roman"/>
          <w:sz w:val="20"/>
          <w:szCs w:val="20"/>
        </w:rPr>
      </w:pPr>
    </w:p>
    <w:p w14:paraId="216560C5" w14:textId="2572CAC4" w:rsidR="00AC0AB0" w:rsidRPr="0035336D" w:rsidRDefault="00AC0AB0" w:rsidP="00AC0AB0">
      <w:pPr>
        <w:rPr>
          <w:rFonts w:ascii="Times New Roman" w:hAnsi="Times New Roman" w:cs="Times New Roman"/>
          <w:sz w:val="20"/>
          <w:szCs w:val="20"/>
        </w:rPr>
      </w:pPr>
      <w:r w:rsidRPr="0035336D">
        <w:rPr>
          <w:rFonts w:ascii="Times New Roman" w:hAnsi="Times New Roman" w:cs="Times New Roman"/>
          <w:sz w:val="20"/>
          <w:szCs w:val="20"/>
        </w:rPr>
        <w:t>*</w:t>
      </w:r>
      <w:r>
        <w:rPr>
          <w:rFonts w:ascii="Times New Roman" w:hAnsi="Times New Roman" w:cs="Times New Roman"/>
          <w:sz w:val="20"/>
          <w:szCs w:val="20"/>
        </w:rPr>
        <w:t xml:space="preserve"> Reviewed articles include those posted on Westlaw for the period August 1, 2019 to July 31, 2020. The Environmental Law and Policy Annual Review methodology provides additional details: on the journals included, handling of embargoed articles and the dates key word searches were performed: </w:t>
      </w:r>
      <w:hyperlink r:id="rId26" w:history="1">
        <w:r w:rsidR="000B0CC6" w:rsidRPr="00EF6A43">
          <w:rPr>
            <w:rStyle w:val="Hyperlink"/>
            <w:rFonts w:ascii="Times New Roman" w:hAnsi="Times New Roman" w:cs="Times New Roman"/>
            <w:sz w:val="20"/>
            <w:szCs w:val="20"/>
          </w:rPr>
          <w:t>https://www.eli.org/sites/default/files/docs/elpar/elpar_methodology_2020-2021.pdf</w:t>
        </w:r>
      </w:hyperlink>
      <w:r w:rsidR="000B0CC6">
        <w:rPr>
          <w:rFonts w:ascii="Times New Roman" w:hAnsi="Times New Roman" w:cs="Times New Roman"/>
          <w:sz w:val="20"/>
          <w:szCs w:val="20"/>
        </w:rPr>
        <w:t xml:space="preserve"> </w:t>
      </w:r>
    </w:p>
    <w:p w14:paraId="3A592E0F" w14:textId="77777777" w:rsidR="0035336D" w:rsidRPr="0035336D" w:rsidRDefault="0035336D" w:rsidP="0035336D">
      <w:pPr>
        <w:rPr>
          <w:rFonts w:ascii="Times New Roman" w:hAnsi="Times New Roman" w:cs="Times New Roman"/>
          <w:sz w:val="20"/>
          <w:szCs w:val="20"/>
        </w:rPr>
      </w:pPr>
    </w:p>
    <w:sectPr w:rsidR="0035336D" w:rsidRPr="0035336D" w:rsidSect="00A35B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altName w:val="Times"/>
    <w:panose1 w:val="02000500000000000000"/>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3D3B"/>
    <w:multiLevelType w:val="hybridMultilevel"/>
    <w:tmpl w:val="5FD284FC"/>
    <w:lvl w:ilvl="0" w:tplc="BDFE3666">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E6111"/>
    <w:multiLevelType w:val="multilevel"/>
    <w:tmpl w:val="4934A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219DD"/>
    <w:multiLevelType w:val="hybridMultilevel"/>
    <w:tmpl w:val="E5D230F2"/>
    <w:lvl w:ilvl="0" w:tplc="1E16A33C">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3253C"/>
    <w:multiLevelType w:val="hybridMultilevel"/>
    <w:tmpl w:val="8954DA64"/>
    <w:lvl w:ilvl="0" w:tplc="2DAC81D0">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14"/>
    <w:rsid w:val="0000030B"/>
    <w:rsid w:val="000024F1"/>
    <w:rsid w:val="00004015"/>
    <w:rsid w:val="00011BAD"/>
    <w:rsid w:val="0001594B"/>
    <w:rsid w:val="00035126"/>
    <w:rsid w:val="00043D9F"/>
    <w:rsid w:val="0004586B"/>
    <w:rsid w:val="00067D3B"/>
    <w:rsid w:val="00070A8D"/>
    <w:rsid w:val="00073BE1"/>
    <w:rsid w:val="00076184"/>
    <w:rsid w:val="00082854"/>
    <w:rsid w:val="00084FD6"/>
    <w:rsid w:val="0009370A"/>
    <w:rsid w:val="000B0B4F"/>
    <w:rsid w:val="000B0CC6"/>
    <w:rsid w:val="000C5865"/>
    <w:rsid w:val="00103A60"/>
    <w:rsid w:val="00104073"/>
    <w:rsid w:val="00105355"/>
    <w:rsid w:val="0011378F"/>
    <w:rsid w:val="00115E58"/>
    <w:rsid w:val="00124E54"/>
    <w:rsid w:val="001278D5"/>
    <w:rsid w:val="001345BF"/>
    <w:rsid w:val="001373A1"/>
    <w:rsid w:val="00143E0C"/>
    <w:rsid w:val="0016742C"/>
    <w:rsid w:val="00181268"/>
    <w:rsid w:val="00192F34"/>
    <w:rsid w:val="001A22CD"/>
    <w:rsid w:val="001A2375"/>
    <w:rsid w:val="001A5190"/>
    <w:rsid w:val="001A5789"/>
    <w:rsid w:val="001B38FC"/>
    <w:rsid w:val="001C7320"/>
    <w:rsid w:val="001E0FC3"/>
    <w:rsid w:val="001F0C76"/>
    <w:rsid w:val="00202D0F"/>
    <w:rsid w:val="00202DB8"/>
    <w:rsid w:val="00203ADF"/>
    <w:rsid w:val="002121A2"/>
    <w:rsid w:val="00216A4C"/>
    <w:rsid w:val="00227EE9"/>
    <w:rsid w:val="002455F5"/>
    <w:rsid w:val="00252414"/>
    <w:rsid w:val="0025398F"/>
    <w:rsid w:val="00255950"/>
    <w:rsid w:val="00255F71"/>
    <w:rsid w:val="00257D58"/>
    <w:rsid w:val="0027484E"/>
    <w:rsid w:val="00277A32"/>
    <w:rsid w:val="00277D4F"/>
    <w:rsid w:val="00283052"/>
    <w:rsid w:val="00285A36"/>
    <w:rsid w:val="002870F0"/>
    <w:rsid w:val="0029477C"/>
    <w:rsid w:val="00294F4F"/>
    <w:rsid w:val="002950C5"/>
    <w:rsid w:val="002A73F1"/>
    <w:rsid w:val="002B64D2"/>
    <w:rsid w:val="002D32C6"/>
    <w:rsid w:val="002D5D74"/>
    <w:rsid w:val="002E61A7"/>
    <w:rsid w:val="0030573B"/>
    <w:rsid w:val="00311B78"/>
    <w:rsid w:val="003179FA"/>
    <w:rsid w:val="00321F3F"/>
    <w:rsid w:val="00326D92"/>
    <w:rsid w:val="00331CAF"/>
    <w:rsid w:val="00336F41"/>
    <w:rsid w:val="0033707E"/>
    <w:rsid w:val="00350CAC"/>
    <w:rsid w:val="0035336D"/>
    <w:rsid w:val="00362776"/>
    <w:rsid w:val="00366C51"/>
    <w:rsid w:val="00383700"/>
    <w:rsid w:val="00393C47"/>
    <w:rsid w:val="003A2C26"/>
    <w:rsid w:val="003B5AA7"/>
    <w:rsid w:val="003C5021"/>
    <w:rsid w:val="003D0F4D"/>
    <w:rsid w:val="003D13A2"/>
    <w:rsid w:val="003D3468"/>
    <w:rsid w:val="003D50AF"/>
    <w:rsid w:val="003E401D"/>
    <w:rsid w:val="00401B6A"/>
    <w:rsid w:val="00416271"/>
    <w:rsid w:val="00437307"/>
    <w:rsid w:val="00450CF2"/>
    <w:rsid w:val="00452C03"/>
    <w:rsid w:val="00455CEA"/>
    <w:rsid w:val="00470A08"/>
    <w:rsid w:val="00475709"/>
    <w:rsid w:val="00481043"/>
    <w:rsid w:val="00481794"/>
    <w:rsid w:val="00481BE5"/>
    <w:rsid w:val="00490292"/>
    <w:rsid w:val="00490880"/>
    <w:rsid w:val="00490934"/>
    <w:rsid w:val="004910E9"/>
    <w:rsid w:val="004A03C5"/>
    <w:rsid w:val="004A089B"/>
    <w:rsid w:val="004A7E40"/>
    <w:rsid w:val="004B66F0"/>
    <w:rsid w:val="004C34B5"/>
    <w:rsid w:val="004C6AFF"/>
    <w:rsid w:val="004D2F2A"/>
    <w:rsid w:val="004D7FD9"/>
    <w:rsid w:val="004E4DAE"/>
    <w:rsid w:val="004E7C11"/>
    <w:rsid w:val="004F49D0"/>
    <w:rsid w:val="00500D35"/>
    <w:rsid w:val="005118EC"/>
    <w:rsid w:val="00511A1A"/>
    <w:rsid w:val="00514AE8"/>
    <w:rsid w:val="00516169"/>
    <w:rsid w:val="00531FD9"/>
    <w:rsid w:val="00534910"/>
    <w:rsid w:val="00540686"/>
    <w:rsid w:val="005430D0"/>
    <w:rsid w:val="0054337D"/>
    <w:rsid w:val="005448F6"/>
    <w:rsid w:val="00552D1F"/>
    <w:rsid w:val="00552FB0"/>
    <w:rsid w:val="005544D9"/>
    <w:rsid w:val="00566556"/>
    <w:rsid w:val="00572A32"/>
    <w:rsid w:val="00573C35"/>
    <w:rsid w:val="00580F74"/>
    <w:rsid w:val="00582473"/>
    <w:rsid w:val="00582D59"/>
    <w:rsid w:val="00587CCE"/>
    <w:rsid w:val="005D255A"/>
    <w:rsid w:val="005E0950"/>
    <w:rsid w:val="005F768A"/>
    <w:rsid w:val="0060279D"/>
    <w:rsid w:val="006344AF"/>
    <w:rsid w:val="00645540"/>
    <w:rsid w:val="006532C4"/>
    <w:rsid w:val="006603BF"/>
    <w:rsid w:val="006633CF"/>
    <w:rsid w:val="00667668"/>
    <w:rsid w:val="00670471"/>
    <w:rsid w:val="00675E40"/>
    <w:rsid w:val="00680AB5"/>
    <w:rsid w:val="00683A8C"/>
    <w:rsid w:val="0069523A"/>
    <w:rsid w:val="006A0743"/>
    <w:rsid w:val="006A5EE6"/>
    <w:rsid w:val="006E1921"/>
    <w:rsid w:val="006E6869"/>
    <w:rsid w:val="006F201A"/>
    <w:rsid w:val="006F6D6D"/>
    <w:rsid w:val="00701959"/>
    <w:rsid w:val="0070602E"/>
    <w:rsid w:val="00715322"/>
    <w:rsid w:val="00731BB7"/>
    <w:rsid w:val="00751423"/>
    <w:rsid w:val="00752280"/>
    <w:rsid w:val="00752D41"/>
    <w:rsid w:val="0075645F"/>
    <w:rsid w:val="0075684B"/>
    <w:rsid w:val="0077398D"/>
    <w:rsid w:val="00785C89"/>
    <w:rsid w:val="00787F25"/>
    <w:rsid w:val="0079169D"/>
    <w:rsid w:val="007A453D"/>
    <w:rsid w:val="007C1FCE"/>
    <w:rsid w:val="007D456D"/>
    <w:rsid w:val="007D7894"/>
    <w:rsid w:val="007E7603"/>
    <w:rsid w:val="007F135F"/>
    <w:rsid w:val="00801818"/>
    <w:rsid w:val="00802FFA"/>
    <w:rsid w:val="00810A75"/>
    <w:rsid w:val="008117D2"/>
    <w:rsid w:val="00815955"/>
    <w:rsid w:val="00816D55"/>
    <w:rsid w:val="00837B24"/>
    <w:rsid w:val="00855A2B"/>
    <w:rsid w:val="00863A0D"/>
    <w:rsid w:val="00880A05"/>
    <w:rsid w:val="008906DC"/>
    <w:rsid w:val="00891026"/>
    <w:rsid w:val="0089368E"/>
    <w:rsid w:val="008A2EDD"/>
    <w:rsid w:val="008B205E"/>
    <w:rsid w:val="008B4E75"/>
    <w:rsid w:val="008B6712"/>
    <w:rsid w:val="008D5F48"/>
    <w:rsid w:val="008E3705"/>
    <w:rsid w:val="008E51F5"/>
    <w:rsid w:val="008F1542"/>
    <w:rsid w:val="008F6247"/>
    <w:rsid w:val="00906E58"/>
    <w:rsid w:val="0093374D"/>
    <w:rsid w:val="00933A77"/>
    <w:rsid w:val="00934065"/>
    <w:rsid w:val="00945CF9"/>
    <w:rsid w:val="00951309"/>
    <w:rsid w:val="009548BD"/>
    <w:rsid w:val="00955A18"/>
    <w:rsid w:val="00961DE6"/>
    <w:rsid w:val="00967D3A"/>
    <w:rsid w:val="00971BA4"/>
    <w:rsid w:val="00973C48"/>
    <w:rsid w:val="009A68CF"/>
    <w:rsid w:val="009C0381"/>
    <w:rsid w:val="009C7E51"/>
    <w:rsid w:val="009E316E"/>
    <w:rsid w:val="009F02AB"/>
    <w:rsid w:val="00A0027B"/>
    <w:rsid w:val="00A04BD2"/>
    <w:rsid w:val="00A06450"/>
    <w:rsid w:val="00A07838"/>
    <w:rsid w:val="00A35B6C"/>
    <w:rsid w:val="00A5108E"/>
    <w:rsid w:val="00A609B6"/>
    <w:rsid w:val="00A62D7F"/>
    <w:rsid w:val="00A71492"/>
    <w:rsid w:val="00A766FB"/>
    <w:rsid w:val="00A9006C"/>
    <w:rsid w:val="00A9198A"/>
    <w:rsid w:val="00A9329A"/>
    <w:rsid w:val="00AA25C3"/>
    <w:rsid w:val="00AA5B65"/>
    <w:rsid w:val="00AB43E7"/>
    <w:rsid w:val="00AC0AB0"/>
    <w:rsid w:val="00AE610D"/>
    <w:rsid w:val="00AF00D9"/>
    <w:rsid w:val="00AF0FD3"/>
    <w:rsid w:val="00AF5898"/>
    <w:rsid w:val="00B01557"/>
    <w:rsid w:val="00B073D9"/>
    <w:rsid w:val="00B21E5E"/>
    <w:rsid w:val="00B22E9B"/>
    <w:rsid w:val="00B33111"/>
    <w:rsid w:val="00B45ED5"/>
    <w:rsid w:val="00B51376"/>
    <w:rsid w:val="00B54DCB"/>
    <w:rsid w:val="00B55119"/>
    <w:rsid w:val="00B740E6"/>
    <w:rsid w:val="00BA3C27"/>
    <w:rsid w:val="00BA4DE2"/>
    <w:rsid w:val="00BA797E"/>
    <w:rsid w:val="00BB17A6"/>
    <w:rsid w:val="00BC12C5"/>
    <w:rsid w:val="00BC575D"/>
    <w:rsid w:val="00BC7CB1"/>
    <w:rsid w:val="00BD7C9C"/>
    <w:rsid w:val="00BE6914"/>
    <w:rsid w:val="00BF0EF4"/>
    <w:rsid w:val="00C02CC6"/>
    <w:rsid w:val="00C523F1"/>
    <w:rsid w:val="00C54A18"/>
    <w:rsid w:val="00C5612F"/>
    <w:rsid w:val="00C7120E"/>
    <w:rsid w:val="00C853CF"/>
    <w:rsid w:val="00C965FD"/>
    <w:rsid w:val="00CA536C"/>
    <w:rsid w:val="00CB5FCD"/>
    <w:rsid w:val="00CB74C1"/>
    <w:rsid w:val="00CE5453"/>
    <w:rsid w:val="00CF256C"/>
    <w:rsid w:val="00CF3F69"/>
    <w:rsid w:val="00D00830"/>
    <w:rsid w:val="00D14300"/>
    <w:rsid w:val="00D152FD"/>
    <w:rsid w:val="00D1581A"/>
    <w:rsid w:val="00D17144"/>
    <w:rsid w:val="00D2179B"/>
    <w:rsid w:val="00D2267C"/>
    <w:rsid w:val="00D33993"/>
    <w:rsid w:val="00D36978"/>
    <w:rsid w:val="00D37D11"/>
    <w:rsid w:val="00D51EBE"/>
    <w:rsid w:val="00D5627F"/>
    <w:rsid w:val="00D6338A"/>
    <w:rsid w:val="00D64129"/>
    <w:rsid w:val="00D712E9"/>
    <w:rsid w:val="00D84E5B"/>
    <w:rsid w:val="00D91492"/>
    <w:rsid w:val="00D969CF"/>
    <w:rsid w:val="00DB64D6"/>
    <w:rsid w:val="00DC6495"/>
    <w:rsid w:val="00DD2711"/>
    <w:rsid w:val="00DD3079"/>
    <w:rsid w:val="00DD3F4A"/>
    <w:rsid w:val="00DD670E"/>
    <w:rsid w:val="00DD7DE5"/>
    <w:rsid w:val="00E0381E"/>
    <w:rsid w:val="00E048DE"/>
    <w:rsid w:val="00E15D08"/>
    <w:rsid w:val="00E368E8"/>
    <w:rsid w:val="00E454D9"/>
    <w:rsid w:val="00E504E6"/>
    <w:rsid w:val="00E50859"/>
    <w:rsid w:val="00E70916"/>
    <w:rsid w:val="00E72960"/>
    <w:rsid w:val="00E75E1D"/>
    <w:rsid w:val="00E7732D"/>
    <w:rsid w:val="00E815F0"/>
    <w:rsid w:val="00E8524F"/>
    <w:rsid w:val="00E8763C"/>
    <w:rsid w:val="00E920DE"/>
    <w:rsid w:val="00EB1C5C"/>
    <w:rsid w:val="00EC41A0"/>
    <w:rsid w:val="00EE23AB"/>
    <w:rsid w:val="00EE5EA1"/>
    <w:rsid w:val="00F04413"/>
    <w:rsid w:val="00F04D22"/>
    <w:rsid w:val="00F142D7"/>
    <w:rsid w:val="00F24F4F"/>
    <w:rsid w:val="00F25B5D"/>
    <w:rsid w:val="00F26EF8"/>
    <w:rsid w:val="00F30246"/>
    <w:rsid w:val="00F60BA5"/>
    <w:rsid w:val="00F61464"/>
    <w:rsid w:val="00F633B3"/>
    <w:rsid w:val="00F65A8A"/>
    <w:rsid w:val="00F7350A"/>
    <w:rsid w:val="00F803C3"/>
    <w:rsid w:val="00F84EB1"/>
    <w:rsid w:val="00FA70DB"/>
    <w:rsid w:val="00FA7AB8"/>
    <w:rsid w:val="00FB5F7F"/>
    <w:rsid w:val="00FD152D"/>
    <w:rsid w:val="00FE17E3"/>
    <w:rsid w:val="00FF4A04"/>
    <w:rsid w:val="00FF7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ACD8"/>
  <w14:defaultImageDpi w14:val="32767"/>
  <w15:docId w15:val="{DB245D74-9540-4DF1-89C6-CAF09602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1026"/>
    <w:rPr>
      <w:sz w:val="16"/>
      <w:szCs w:val="16"/>
    </w:rPr>
  </w:style>
  <w:style w:type="paragraph" w:styleId="CommentText">
    <w:name w:val="annotation text"/>
    <w:basedOn w:val="Normal"/>
    <w:link w:val="CommentTextChar"/>
    <w:uiPriority w:val="99"/>
    <w:semiHidden/>
    <w:unhideWhenUsed/>
    <w:rsid w:val="00891026"/>
    <w:rPr>
      <w:sz w:val="20"/>
      <w:szCs w:val="20"/>
    </w:rPr>
  </w:style>
  <w:style w:type="character" w:customStyle="1" w:styleId="CommentTextChar">
    <w:name w:val="Comment Text Char"/>
    <w:basedOn w:val="DefaultParagraphFont"/>
    <w:link w:val="CommentText"/>
    <w:uiPriority w:val="99"/>
    <w:semiHidden/>
    <w:rsid w:val="00891026"/>
    <w:rPr>
      <w:sz w:val="20"/>
      <w:szCs w:val="20"/>
    </w:rPr>
  </w:style>
  <w:style w:type="paragraph" w:styleId="CommentSubject">
    <w:name w:val="annotation subject"/>
    <w:basedOn w:val="CommentText"/>
    <w:next w:val="CommentText"/>
    <w:link w:val="CommentSubjectChar"/>
    <w:uiPriority w:val="99"/>
    <w:semiHidden/>
    <w:unhideWhenUsed/>
    <w:rsid w:val="00891026"/>
    <w:rPr>
      <w:b/>
      <w:bCs/>
    </w:rPr>
  </w:style>
  <w:style w:type="character" w:customStyle="1" w:styleId="CommentSubjectChar">
    <w:name w:val="Comment Subject Char"/>
    <w:basedOn w:val="CommentTextChar"/>
    <w:link w:val="CommentSubject"/>
    <w:uiPriority w:val="99"/>
    <w:semiHidden/>
    <w:rsid w:val="00891026"/>
    <w:rPr>
      <w:b/>
      <w:bCs/>
      <w:sz w:val="20"/>
      <w:szCs w:val="20"/>
    </w:rPr>
  </w:style>
  <w:style w:type="paragraph" w:styleId="BalloonText">
    <w:name w:val="Balloon Text"/>
    <w:basedOn w:val="Normal"/>
    <w:link w:val="BalloonTextChar"/>
    <w:uiPriority w:val="99"/>
    <w:semiHidden/>
    <w:unhideWhenUsed/>
    <w:rsid w:val="00891026"/>
    <w:rPr>
      <w:rFonts w:ascii="Tahoma" w:hAnsi="Tahoma" w:cs="Tahoma"/>
      <w:sz w:val="16"/>
      <w:szCs w:val="16"/>
    </w:rPr>
  </w:style>
  <w:style w:type="character" w:customStyle="1" w:styleId="BalloonTextChar">
    <w:name w:val="Balloon Text Char"/>
    <w:basedOn w:val="DefaultParagraphFont"/>
    <w:link w:val="BalloonText"/>
    <w:uiPriority w:val="99"/>
    <w:semiHidden/>
    <w:rsid w:val="00891026"/>
    <w:rPr>
      <w:rFonts w:ascii="Tahoma" w:hAnsi="Tahoma" w:cs="Tahoma"/>
      <w:sz w:val="16"/>
      <w:szCs w:val="16"/>
    </w:rPr>
  </w:style>
  <w:style w:type="character" w:styleId="Hyperlink">
    <w:name w:val="Hyperlink"/>
    <w:basedOn w:val="DefaultParagraphFont"/>
    <w:uiPriority w:val="99"/>
    <w:unhideWhenUsed/>
    <w:rsid w:val="001E0FC3"/>
    <w:rPr>
      <w:color w:val="0563C1" w:themeColor="hyperlink"/>
      <w:u w:val="single"/>
    </w:rPr>
  </w:style>
  <w:style w:type="character" w:styleId="FollowedHyperlink">
    <w:name w:val="FollowedHyperlink"/>
    <w:basedOn w:val="DefaultParagraphFont"/>
    <w:uiPriority w:val="99"/>
    <w:semiHidden/>
    <w:unhideWhenUsed/>
    <w:rsid w:val="009F02AB"/>
    <w:rPr>
      <w:color w:val="954F72" w:themeColor="followedHyperlink"/>
      <w:u w:val="single"/>
    </w:rPr>
  </w:style>
  <w:style w:type="paragraph" w:styleId="Revision">
    <w:name w:val="Revision"/>
    <w:hidden/>
    <w:uiPriority w:val="99"/>
    <w:semiHidden/>
    <w:rsid w:val="0027484E"/>
  </w:style>
  <w:style w:type="character" w:customStyle="1" w:styleId="apple-converted-space">
    <w:name w:val="apple-converted-space"/>
    <w:basedOn w:val="DefaultParagraphFont"/>
    <w:rsid w:val="00645540"/>
  </w:style>
  <w:style w:type="paragraph" w:styleId="ListParagraph">
    <w:name w:val="List Paragraph"/>
    <w:basedOn w:val="Normal"/>
    <w:uiPriority w:val="34"/>
    <w:qFormat/>
    <w:rsid w:val="0035336D"/>
    <w:pPr>
      <w:ind w:left="720"/>
      <w:contextualSpacing/>
    </w:pPr>
  </w:style>
  <w:style w:type="paragraph" w:styleId="NormalWeb">
    <w:name w:val="Normal (Web)"/>
    <w:basedOn w:val="Normal"/>
    <w:uiPriority w:val="99"/>
    <w:semiHidden/>
    <w:unhideWhenUsed/>
    <w:rsid w:val="0035336D"/>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53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16431">
      <w:bodyDiv w:val="1"/>
      <w:marLeft w:val="0"/>
      <w:marRight w:val="0"/>
      <w:marTop w:val="0"/>
      <w:marBottom w:val="0"/>
      <w:divBdr>
        <w:top w:val="none" w:sz="0" w:space="0" w:color="auto"/>
        <w:left w:val="none" w:sz="0" w:space="0" w:color="auto"/>
        <w:bottom w:val="none" w:sz="0" w:space="0" w:color="auto"/>
        <w:right w:val="none" w:sz="0" w:space="0" w:color="auto"/>
      </w:divBdr>
    </w:div>
    <w:div w:id="162861188">
      <w:bodyDiv w:val="1"/>
      <w:marLeft w:val="0"/>
      <w:marRight w:val="0"/>
      <w:marTop w:val="0"/>
      <w:marBottom w:val="0"/>
      <w:divBdr>
        <w:top w:val="none" w:sz="0" w:space="0" w:color="auto"/>
        <w:left w:val="none" w:sz="0" w:space="0" w:color="auto"/>
        <w:bottom w:val="none" w:sz="0" w:space="0" w:color="auto"/>
        <w:right w:val="none" w:sz="0" w:space="0" w:color="auto"/>
      </w:divBdr>
    </w:div>
    <w:div w:id="169180600">
      <w:bodyDiv w:val="1"/>
      <w:marLeft w:val="0"/>
      <w:marRight w:val="0"/>
      <w:marTop w:val="0"/>
      <w:marBottom w:val="0"/>
      <w:divBdr>
        <w:top w:val="none" w:sz="0" w:space="0" w:color="auto"/>
        <w:left w:val="none" w:sz="0" w:space="0" w:color="auto"/>
        <w:bottom w:val="none" w:sz="0" w:space="0" w:color="auto"/>
        <w:right w:val="none" w:sz="0" w:space="0" w:color="auto"/>
      </w:divBdr>
    </w:div>
    <w:div w:id="191308105">
      <w:bodyDiv w:val="1"/>
      <w:marLeft w:val="0"/>
      <w:marRight w:val="0"/>
      <w:marTop w:val="0"/>
      <w:marBottom w:val="0"/>
      <w:divBdr>
        <w:top w:val="none" w:sz="0" w:space="0" w:color="auto"/>
        <w:left w:val="none" w:sz="0" w:space="0" w:color="auto"/>
        <w:bottom w:val="none" w:sz="0" w:space="0" w:color="auto"/>
        <w:right w:val="none" w:sz="0" w:space="0" w:color="auto"/>
      </w:divBdr>
    </w:div>
    <w:div w:id="192691482">
      <w:bodyDiv w:val="1"/>
      <w:marLeft w:val="0"/>
      <w:marRight w:val="0"/>
      <w:marTop w:val="0"/>
      <w:marBottom w:val="0"/>
      <w:divBdr>
        <w:top w:val="none" w:sz="0" w:space="0" w:color="auto"/>
        <w:left w:val="none" w:sz="0" w:space="0" w:color="auto"/>
        <w:bottom w:val="none" w:sz="0" w:space="0" w:color="auto"/>
        <w:right w:val="none" w:sz="0" w:space="0" w:color="auto"/>
      </w:divBdr>
    </w:div>
    <w:div w:id="272787445">
      <w:bodyDiv w:val="1"/>
      <w:marLeft w:val="0"/>
      <w:marRight w:val="0"/>
      <w:marTop w:val="0"/>
      <w:marBottom w:val="0"/>
      <w:divBdr>
        <w:top w:val="none" w:sz="0" w:space="0" w:color="auto"/>
        <w:left w:val="none" w:sz="0" w:space="0" w:color="auto"/>
        <w:bottom w:val="none" w:sz="0" w:space="0" w:color="auto"/>
        <w:right w:val="none" w:sz="0" w:space="0" w:color="auto"/>
      </w:divBdr>
    </w:div>
    <w:div w:id="300774480">
      <w:bodyDiv w:val="1"/>
      <w:marLeft w:val="0"/>
      <w:marRight w:val="0"/>
      <w:marTop w:val="0"/>
      <w:marBottom w:val="0"/>
      <w:divBdr>
        <w:top w:val="none" w:sz="0" w:space="0" w:color="auto"/>
        <w:left w:val="none" w:sz="0" w:space="0" w:color="auto"/>
        <w:bottom w:val="none" w:sz="0" w:space="0" w:color="auto"/>
        <w:right w:val="none" w:sz="0" w:space="0" w:color="auto"/>
      </w:divBdr>
    </w:div>
    <w:div w:id="317341072">
      <w:bodyDiv w:val="1"/>
      <w:marLeft w:val="0"/>
      <w:marRight w:val="0"/>
      <w:marTop w:val="0"/>
      <w:marBottom w:val="0"/>
      <w:divBdr>
        <w:top w:val="none" w:sz="0" w:space="0" w:color="auto"/>
        <w:left w:val="none" w:sz="0" w:space="0" w:color="auto"/>
        <w:bottom w:val="none" w:sz="0" w:space="0" w:color="auto"/>
        <w:right w:val="none" w:sz="0" w:space="0" w:color="auto"/>
      </w:divBdr>
    </w:div>
    <w:div w:id="331417448">
      <w:bodyDiv w:val="1"/>
      <w:marLeft w:val="0"/>
      <w:marRight w:val="0"/>
      <w:marTop w:val="0"/>
      <w:marBottom w:val="0"/>
      <w:divBdr>
        <w:top w:val="none" w:sz="0" w:space="0" w:color="auto"/>
        <w:left w:val="none" w:sz="0" w:space="0" w:color="auto"/>
        <w:bottom w:val="none" w:sz="0" w:space="0" w:color="auto"/>
        <w:right w:val="none" w:sz="0" w:space="0" w:color="auto"/>
      </w:divBdr>
    </w:div>
    <w:div w:id="402870028">
      <w:bodyDiv w:val="1"/>
      <w:marLeft w:val="0"/>
      <w:marRight w:val="0"/>
      <w:marTop w:val="0"/>
      <w:marBottom w:val="0"/>
      <w:divBdr>
        <w:top w:val="none" w:sz="0" w:space="0" w:color="auto"/>
        <w:left w:val="none" w:sz="0" w:space="0" w:color="auto"/>
        <w:bottom w:val="none" w:sz="0" w:space="0" w:color="auto"/>
        <w:right w:val="none" w:sz="0" w:space="0" w:color="auto"/>
      </w:divBdr>
    </w:div>
    <w:div w:id="422796790">
      <w:bodyDiv w:val="1"/>
      <w:marLeft w:val="0"/>
      <w:marRight w:val="0"/>
      <w:marTop w:val="0"/>
      <w:marBottom w:val="0"/>
      <w:divBdr>
        <w:top w:val="none" w:sz="0" w:space="0" w:color="auto"/>
        <w:left w:val="none" w:sz="0" w:space="0" w:color="auto"/>
        <w:bottom w:val="none" w:sz="0" w:space="0" w:color="auto"/>
        <w:right w:val="none" w:sz="0" w:space="0" w:color="auto"/>
      </w:divBdr>
    </w:div>
    <w:div w:id="466896311">
      <w:bodyDiv w:val="1"/>
      <w:marLeft w:val="0"/>
      <w:marRight w:val="0"/>
      <w:marTop w:val="0"/>
      <w:marBottom w:val="0"/>
      <w:divBdr>
        <w:top w:val="none" w:sz="0" w:space="0" w:color="auto"/>
        <w:left w:val="none" w:sz="0" w:space="0" w:color="auto"/>
        <w:bottom w:val="none" w:sz="0" w:space="0" w:color="auto"/>
        <w:right w:val="none" w:sz="0" w:space="0" w:color="auto"/>
      </w:divBdr>
    </w:div>
    <w:div w:id="483863107">
      <w:bodyDiv w:val="1"/>
      <w:marLeft w:val="0"/>
      <w:marRight w:val="0"/>
      <w:marTop w:val="0"/>
      <w:marBottom w:val="0"/>
      <w:divBdr>
        <w:top w:val="none" w:sz="0" w:space="0" w:color="auto"/>
        <w:left w:val="none" w:sz="0" w:space="0" w:color="auto"/>
        <w:bottom w:val="none" w:sz="0" w:space="0" w:color="auto"/>
        <w:right w:val="none" w:sz="0" w:space="0" w:color="auto"/>
      </w:divBdr>
    </w:div>
    <w:div w:id="549272247">
      <w:bodyDiv w:val="1"/>
      <w:marLeft w:val="0"/>
      <w:marRight w:val="0"/>
      <w:marTop w:val="0"/>
      <w:marBottom w:val="0"/>
      <w:divBdr>
        <w:top w:val="none" w:sz="0" w:space="0" w:color="auto"/>
        <w:left w:val="none" w:sz="0" w:space="0" w:color="auto"/>
        <w:bottom w:val="none" w:sz="0" w:space="0" w:color="auto"/>
        <w:right w:val="none" w:sz="0" w:space="0" w:color="auto"/>
      </w:divBdr>
      <w:divsChild>
        <w:div w:id="1318798820">
          <w:marLeft w:val="0"/>
          <w:marRight w:val="0"/>
          <w:marTop w:val="0"/>
          <w:marBottom w:val="0"/>
          <w:divBdr>
            <w:top w:val="none" w:sz="0" w:space="0" w:color="auto"/>
            <w:left w:val="none" w:sz="0" w:space="0" w:color="auto"/>
            <w:bottom w:val="none" w:sz="0" w:space="0" w:color="auto"/>
            <w:right w:val="none" w:sz="0" w:space="0" w:color="auto"/>
          </w:divBdr>
          <w:divsChild>
            <w:div w:id="697439199">
              <w:marLeft w:val="0"/>
              <w:marRight w:val="0"/>
              <w:marTop w:val="0"/>
              <w:marBottom w:val="0"/>
              <w:divBdr>
                <w:top w:val="none" w:sz="0" w:space="0" w:color="auto"/>
                <w:left w:val="none" w:sz="0" w:space="0" w:color="auto"/>
                <w:bottom w:val="none" w:sz="0" w:space="0" w:color="auto"/>
                <w:right w:val="none" w:sz="0" w:space="0" w:color="auto"/>
              </w:divBdr>
              <w:divsChild>
                <w:div w:id="1683976184">
                  <w:marLeft w:val="0"/>
                  <w:marRight w:val="0"/>
                  <w:marTop w:val="0"/>
                  <w:marBottom w:val="0"/>
                  <w:divBdr>
                    <w:top w:val="none" w:sz="0" w:space="0" w:color="auto"/>
                    <w:left w:val="none" w:sz="0" w:space="0" w:color="auto"/>
                    <w:bottom w:val="none" w:sz="0" w:space="0" w:color="auto"/>
                    <w:right w:val="none" w:sz="0" w:space="0" w:color="auto"/>
                  </w:divBdr>
                </w:div>
              </w:divsChild>
            </w:div>
            <w:div w:id="361563722">
              <w:marLeft w:val="0"/>
              <w:marRight w:val="0"/>
              <w:marTop w:val="0"/>
              <w:marBottom w:val="0"/>
              <w:divBdr>
                <w:top w:val="none" w:sz="0" w:space="0" w:color="auto"/>
                <w:left w:val="none" w:sz="0" w:space="0" w:color="auto"/>
                <w:bottom w:val="none" w:sz="0" w:space="0" w:color="auto"/>
                <w:right w:val="none" w:sz="0" w:space="0" w:color="auto"/>
              </w:divBdr>
              <w:divsChild>
                <w:div w:id="17739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033">
          <w:marLeft w:val="0"/>
          <w:marRight w:val="0"/>
          <w:marTop w:val="0"/>
          <w:marBottom w:val="0"/>
          <w:divBdr>
            <w:top w:val="none" w:sz="0" w:space="0" w:color="auto"/>
            <w:left w:val="none" w:sz="0" w:space="0" w:color="auto"/>
            <w:bottom w:val="none" w:sz="0" w:space="0" w:color="auto"/>
            <w:right w:val="none" w:sz="0" w:space="0" w:color="auto"/>
          </w:divBdr>
          <w:divsChild>
            <w:div w:id="1905410196">
              <w:marLeft w:val="0"/>
              <w:marRight w:val="0"/>
              <w:marTop w:val="0"/>
              <w:marBottom w:val="0"/>
              <w:divBdr>
                <w:top w:val="none" w:sz="0" w:space="0" w:color="auto"/>
                <w:left w:val="none" w:sz="0" w:space="0" w:color="auto"/>
                <w:bottom w:val="none" w:sz="0" w:space="0" w:color="auto"/>
                <w:right w:val="none" w:sz="0" w:space="0" w:color="auto"/>
              </w:divBdr>
              <w:divsChild>
                <w:div w:id="1334914658">
                  <w:marLeft w:val="0"/>
                  <w:marRight w:val="0"/>
                  <w:marTop w:val="0"/>
                  <w:marBottom w:val="0"/>
                  <w:divBdr>
                    <w:top w:val="none" w:sz="0" w:space="0" w:color="auto"/>
                    <w:left w:val="none" w:sz="0" w:space="0" w:color="auto"/>
                    <w:bottom w:val="none" w:sz="0" w:space="0" w:color="auto"/>
                    <w:right w:val="none" w:sz="0" w:space="0" w:color="auto"/>
                  </w:divBdr>
                </w:div>
              </w:divsChild>
            </w:div>
            <w:div w:id="1662076536">
              <w:marLeft w:val="0"/>
              <w:marRight w:val="0"/>
              <w:marTop w:val="0"/>
              <w:marBottom w:val="0"/>
              <w:divBdr>
                <w:top w:val="none" w:sz="0" w:space="0" w:color="auto"/>
                <w:left w:val="none" w:sz="0" w:space="0" w:color="auto"/>
                <w:bottom w:val="none" w:sz="0" w:space="0" w:color="auto"/>
                <w:right w:val="none" w:sz="0" w:space="0" w:color="auto"/>
              </w:divBdr>
              <w:divsChild>
                <w:div w:id="20117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6390">
          <w:marLeft w:val="0"/>
          <w:marRight w:val="0"/>
          <w:marTop w:val="0"/>
          <w:marBottom w:val="0"/>
          <w:divBdr>
            <w:top w:val="none" w:sz="0" w:space="0" w:color="auto"/>
            <w:left w:val="none" w:sz="0" w:space="0" w:color="auto"/>
            <w:bottom w:val="none" w:sz="0" w:space="0" w:color="auto"/>
            <w:right w:val="none" w:sz="0" w:space="0" w:color="auto"/>
          </w:divBdr>
          <w:divsChild>
            <w:div w:id="1486046581">
              <w:marLeft w:val="0"/>
              <w:marRight w:val="0"/>
              <w:marTop w:val="0"/>
              <w:marBottom w:val="0"/>
              <w:divBdr>
                <w:top w:val="none" w:sz="0" w:space="0" w:color="auto"/>
                <w:left w:val="none" w:sz="0" w:space="0" w:color="auto"/>
                <w:bottom w:val="none" w:sz="0" w:space="0" w:color="auto"/>
                <w:right w:val="none" w:sz="0" w:space="0" w:color="auto"/>
              </w:divBdr>
              <w:divsChild>
                <w:div w:id="4853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36446">
      <w:bodyDiv w:val="1"/>
      <w:marLeft w:val="0"/>
      <w:marRight w:val="0"/>
      <w:marTop w:val="0"/>
      <w:marBottom w:val="0"/>
      <w:divBdr>
        <w:top w:val="none" w:sz="0" w:space="0" w:color="auto"/>
        <w:left w:val="none" w:sz="0" w:space="0" w:color="auto"/>
        <w:bottom w:val="none" w:sz="0" w:space="0" w:color="auto"/>
        <w:right w:val="none" w:sz="0" w:space="0" w:color="auto"/>
      </w:divBdr>
    </w:div>
    <w:div w:id="698312677">
      <w:bodyDiv w:val="1"/>
      <w:marLeft w:val="0"/>
      <w:marRight w:val="0"/>
      <w:marTop w:val="0"/>
      <w:marBottom w:val="0"/>
      <w:divBdr>
        <w:top w:val="none" w:sz="0" w:space="0" w:color="auto"/>
        <w:left w:val="none" w:sz="0" w:space="0" w:color="auto"/>
        <w:bottom w:val="none" w:sz="0" w:space="0" w:color="auto"/>
        <w:right w:val="none" w:sz="0" w:space="0" w:color="auto"/>
      </w:divBdr>
    </w:div>
    <w:div w:id="718630555">
      <w:bodyDiv w:val="1"/>
      <w:marLeft w:val="0"/>
      <w:marRight w:val="0"/>
      <w:marTop w:val="0"/>
      <w:marBottom w:val="0"/>
      <w:divBdr>
        <w:top w:val="none" w:sz="0" w:space="0" w:color="auto"/>
        <w:left w:val="none" w:sz="0" w:space="0" w:color="auto"/>
        <w:bottom w:val="none" w:sz="0" w:space="0" w:color="auto"/>
        <w:right w:val="none" w:sz="0" w:space="0" w:color="auto"/>
      </w:divBdr>
    </w:div>
    <w:div w:id="721634994">
      <w:bodyDiv w:val="1"/>
      <w:marLeft w:val="0"/>
      <w:marRight w:val="0"/>
      <w:marTop w:val="0"/>
      <w:marBottom w:val="0"/>
      <w:divBdr>
        <w:top w:val="none" w:sz="0" w:space="0" w:color="auto"/>
        <w:left w:val="none" w:sz="0" w:space="0" w:color="auto"/>
        <w:bottom w:val="none" w:sz="0" w:space="0" w:color="auto"/>
        <w:right w:val="none" w:sz="0" w:space="0" w:color="auto"/>
      </w:divBdr>
    </w:div>
    <w:div w:id="734745986">
      <w:bodyDiv w:val="1"/>
      <w:marLeft w:val="0"/>
      <w:marRight w:val="0"/>
      <w:marTop w:val="0"/>
      <w:marBottom w:val="0"/>
      <w:divBdr>
        <w:top w:val="none" w:sz="0" w:space="0" w:color="auto"/>
        <w:left w:val="none" w:sz="0" w:space="0" w:color="auto"/>
        <w:bottom w:val="none" w:sz="0" w:space="0" w:color="auto"/>
        <w:right w:val="none" w:sz="0" w:space="0" w:color="auto"/>
      </w:divBdr>
    </w:div>
    <w:div w:id="745152603">
      <w:bodyDiv w:val="1"/>
      <w:marLeft w:val="0"/>
      <w:marRight w:val="0"/>
      <w:marTop w:val="0"/>
      <w:marBottom w:val="0"/>
      <w:divBdr>
        <w:top w:val="none" w:sz="0" w:space="0" w:color="auto"/>
        <w:left w:val="none" w:sz="0" w:space="0" w:color="auto"/>
        <w:bottom w:val="none" w:sz="0" w:space="0" w:color="auto"/>
        <w:right w:val="none" w:sz="0" w:space="0" w:color="auto"/>
      </w:divBdr>
    </w:div>
    <w:div w:id="745302086">
      <w:bodyDiv w:val="1"/>
      <w:marLeft w:val="0"/>
      <w:marRight w:val="0"/>
      <w:marTop w:val="0"/>
      <w:marBottom w:val="0"/>
      <w:divBdr>
        <w:top w:val="none" w:sz="0" w:space="0" w:color="auto"/>
        <w:left w:val="none" w:sz="0" w:space="0" w:color="auto"/>
        <w:bottom w:val="none" w:sz="0" w:space="0" w:color="auto"/>
        <w:right w:val="none" w:sz="0" w:space="0" w:color="auto"/>
      </w:divBdr>
    </w:div>
    <w:div w:id="781341064">
      <w:bodyDiv w:val="1"/>
      <w:marLeft w:val="0"/>
      <w:marRight w:val="0"/>
      <w:marTop w:val="0"/>
      <w:marBottom w:val="0"/>
      <w:divBdr>
        <w:top w:val="none" w:sz="0" w:space="0" w:color="auto"/>
        <w:left w:val="none" w:sz="0" w:space="0" w:color="auto"/>
        <w:bottom w:val="none" w:sz="0" w:space="0" w:color="auto"/>
        <w:right w:val="none" w:sz="0" w:space="0" w:color="auto"/>
      </w:divBdr>
    </w:div>
    <w:div w:id="800921477">
      <w:bodyDiv w:val="1"/>
      <w:marLeft w:val="0"/>
      <w:marRight w:val="0"/>
      <w:marTop w:val="0"/>
      <w:marBottom w:val="0"/>
      <w:divBdr>
        <w:top w:val="none" w:sz="0" w:space="0" w:color="auto"/>
        <w:left w:val="none" w:sz="0" w:space="0" w:color="auto"/>
        <w:bottom w:val="none" w:sz="0" w:space="0" w:color="auto"/>
        <w:right w:val="none" w:sz="0" w:space="0" w:color="auto"/>
      </w:divBdr>
    </w:div>
    <w:div w:id="816653890">
      <w:bodyDiv w:val="1"/>
      <w:marLeft w:val="0"/>
      <w:marRight w:val="0"/>
      <w:marTop w:val="0"/>
      <w:marBottom w:val="0"/>
      <w:divBdr>
        <w:top w:val="none" w:sz="0" w:space="0" w:color="auto"/>
        <w:left w:val="none" w:sz="0" w:space="0" w:color="auto"/>
        <w:bottom w:val="none" w:sz="0" w:space="0" w:color="auto"/>
        <w:right w:val="none" w:sz="0" w:space="0" w:color="auto"/>
      </w:divBdr>
    </w:div>
    <w:div w:id="828596886">
      <w:bodyDiv w:val="1"/>
      <w:marLeft w:val="0"/>
      <w:marRight w:val="0"/>
      <w:marTop w:val="0"/>
      <w:marBottom w:val="0"/>
      <w:divBdr>
        <w:top w:val="none" w:sz="0" w:space="0" w:color="auto"/>
        <w:left w:val="none" w:sz="0" w:space="0" w:color="auto"/>
        <w:bottom w:val="none" w:sz="0" w:space="0" w:color="auto"/>
        <w:right w:val="none" w:sz="0" w:space="0" w:color="auto"/>
      </w:divBdr>
    </w:div>
    <w:div w:id="888491982">
      <w:bodyDiv w:val="1"/>
      <w:marLeft w:val="0"/>
      <w:marRight w:val="0"/>
      <w:marTop w:val="0"/>
      <w:marBottom w:val="0"/>
      <w:divBdr>
        <w:top w:val="none" w:sz="0" w:space="0" w:color="auto"/>
        <w:left w:val="none" w:sz="0" w:space="0" w:color="auto"/>
        <w:bottom w:val="none" w:sz="0" w:space="0" w:color="auto"/>
        <w:right w:val="none" w:sz="0" w:space="0" w:color="auto"/>
      </w:divBdr>
    </w:div>
    <w:div w:id="898367494">
      <w:bodyDiv w:val="1"/>
      <w:marLeft w:val="0"/>
      <w:marRight w:val="0"/>
      <w:marTop w:val="0"/>
      <w:marBottom w:val="0"/>
      <w:divBdr>
        <w:top w:val="none" w:sz="0" w:space="0" w:color="auto"/>
        <w:left w:val="none" w:sz="0" w:space="0" w:color="auto"/>
        <w:bottom w:val="none" w:sz="0" w:space="0" w:color="auto"/>
        <w:right w:val="none" w:sz="0" w:space="0" w:color="auto"/>
      </w:divBdr>
    </w:div>
    <w:div w:id="1029528654">
      <w:bodyDiv w:val="1"/>
      <w:marLeft w:val="0"/>
      <w:marRight w:val="0"/>
      <w:marTop w:val="0"/>
      <w:marBottom w:val="0"/>
      <w:divBdr>
        <w:top w:val="none" w:sz="0" w:space="0" w:color="auto"/>
        <w:left w:val="none" w:sz="0" w:space="0" w:color="auto"/>
        <w:bottom w:val="none" w:sz="0" w:space="0" w:color="auto"/>
        <w:right w:val="none" w:sz="0" w:space="0" w:color="auto"/>
      </w:divBdr>
    </w:div>
    <w:div w:id="1079911445">
      <w:bodyDiv w:val="1"/>
      <w:marLeft w:val="0"/>
      <w:marRight w:val="0"/>
      <w:marTop w:val="0"/>
      <w:marBottom w:val="0"/>
      <w:divBdr>
        <w:top w:val="none" w:sz="0" w:space="0" w:color="auto"/>
        <w:left w:val="none" w:sz="0" w:space="0" w:color="auto"/>
        <w:bottom w:val="none" w:sz="0" w:space="0" w:color="auto"/>
        <w:right w:val="none" w:sz="0" w:space="0" w:color="auto"/>
      </w:divBdr>
    </w:div>
    <w:div w:id="1090928578">
      <w:bodyDiv w:val="1"/>
      <w:marLeft w:val="0"/>
      <w:marRight w:val="0"/>
      <w:marTop w:val="0"/>
      <w:marBottom w:val="0"/>
      <w:divBdr>
        <w:top w:val="none" w:sz="0" w:space="0" w:color="auto"/>
        <w:left w:val="none" w:sz="0" w:space="0" w:color="auto"/>
        <w:bottom w:val="none" w:sz="0" w:space="0" w:color="auto"/>
        <w:right w:val="none" w:sz="0" w:space="0" w:color="auto"/>
      </w:divBdr>
    </w:div>
    <w:div w:id="1096634318">
      <w:bodyDiv w:val="1"/>
      <w:marLeft w:val="0"/>
      <w:marRight w:val="0"/>
      <w:marTop w:val="0"/>
      <w:marBottom w:val="0"/>
      <w:divBdr>
        <w:top w:val="none" w:sz="0" w:space="0" w:color="auto"/>
        <w:left w:val="none" w:sz="0" w:space="0" w:color="auto"/>
        <w:bottom w:val="none" w:sz="0" w:space="0" w:color="auto"/>
        <w:right w:val="none" w:sz="0" w:space="0" w:color="auto"/>
      </w:divBdr>
    </w:div>
    <w:div w:id="1106268750">
      <w:bodyDiv w:val="1"/>
      <w:marLeft w:val="0"/>
      <w:marRight w:val="0"/>
      <w:marTop w:val="0"/>
      <w:marBottom w:val="0"/>
      <w:divBdr>
        <w:top w:val="none" w:sz="0" w:space="0" w:color="auto"/>
        <w:left w:val="none" w:sz="0" w:space="0" w:color="auto"/>
        <w:bottom w:val="none" w:sz="0" w:space="0" w:color="auto"/>
        <w:right w:val="none" w:sz="0" w:space="0" w:color="auto"/>
      </w:divBdr>
    </w:div>
    <w:div w:id="1129011307">
      <w:bodyDiv w:val="1"/>
      <w:marLeft w:val="0"/>
      <w:marRight w:val="0"/>
      <w:marTop w:val="0"/>
      <w:marBottom w:val="0"/>
      <w:divBdr>
        <w:top w:val="none" w:sz="0" w:space="0" w:color="auto"/>
        <w:left w:val="none" w:sz="0" w:space="0" w:color="auto"/>
        <w:bottom w:val="none" w:sz="0" w:space="0" w:color="auto"/>
        <w:right w:val="none" w:sz="0" w:space="0" w:color="auto"/>
      </w:divBdr>
    </w:div>
    <w:div w:id="1150362373">
      <w:bodyDiv w:val="1"/>
      <w:marLeft w:val="0"/>
      <w:marRight w:val="0"/>
      <w:marTop w:val="0"/>
      <w:marBottom w:val="0"/>
      <w:divBdr>
        <w:top w:val="none" w:sz="0" w:space="0" w:color="auto"/>
        <w:left w:val="none" w:sz="0" w:space="0" w:color="auto"/>
        <w:bottom w:val="none" w:sz="0" w:space="0" w:color="auto"/>
        <w:right w:val="none" w:sz="0" w:space="0" w:color="auto"/>
      </w:divBdr>
    </w:div>
    <w:div w:id="1183544230">
      <w:bodyDiv w:val="1"/>
      <w:marLeft w:val="0"/>
      <w:marRight w:val="0"/>
      <w:marTop w:val="0"/>
      <w:marBottom w:val="0"/>
      <w:divBdr>
        <w:top w:val="none" w:sz="0" w:space="0" w:color="auto"/>
        <w:left w:val="none" w:sz="0" w:space="0" w:color="auto"/>
        <w:bottom w:val="none" w:sz="0" w:space="0" w:color="auto"/>
        <w:right w:val="none" w:sz="0" w:space="0" w:color="auto"/>
      </w:divBdr>
    </w:div>
    <w:div w:id="1195001753">
      <w:bodyDiv w:val="1"/>
      <w:marLeft w:val="0"/>
      <w:marRight w:val="0"/>
      <w:marTop w:val="0"/>
      <w:marBottom w:val="0"/>
      <w:divBdr>
        <w:top w:val="none" w:sz="0" w:space="0" w:color="auto"/>
        <w:left w:val="none" w:sz="0" w:space="0" w:color="auto"/>
        <w:bottom w:val="none" w:sz="0" w:space="0" w:color="auto"/>
        <w:right w:val="none" w:sz="0" w:space="0" w:color="auto"/>
      </w:divBdr>
    </w:div>
    <w:div w:id="1253321990">
      <w:bodyDiv w:val="1"/>
      <w:marLeft w:val="0"/>
      <w:marRight w:val="0"/>
      <w:marTop w:val="0"/>
      <w:marBottom w:val="0"/>
      <w:divBdr>
        <w:top w:val="none" w:sz="0" w:space="0" w:color="auto"/>
        <w:left w:val="none" w:sz="0" w:space="0" w:color="auto"/>
        <w:bottom w:val="none" w:sz="0" w:space="0" w:color="auto"/>
        <w:right w:val="none" w:sz="0" w:space="0" w:color="auto"/>
      </w:divBdr>
    </w:div>
    <w:div w:id="1371611638">
      <w:bodyDiv w:val="1"/>
      <w:marLeft w:val="0"/>
      <w:marRight w:val="0"/>
      <w:marTop w:val="0"/>
      <w:marBottom w:val="0"/>
      <w:divBdr>
        <w:top w:val="none" w:sz="0" w:space="0" w:color="auto"/>
        <w:left w:val="none" w:sz="0" w:space="0" w:color="auto"/>
        <w:bottom w:val="none" w:sz="0" w:space="0" w:color="auto"/>
        <w:right w:val="none" w:sz="0" w:space="0" w:color="auto"/>
      </w:divBdr>
    </w:div>
    <w:div w:id="1378890012">
      <w:bodyDiv w:val="1"/>
      <w:marLeft w:val="0"/>
      <w:marRight w:val="0"/>
      <w:marTop w:val="0"/>
      <w:marBottom w:val="0"/>
      <w:divBdr>
        <w:top w:val="none" w:sz="0" w:space="0" w:color="auto"/>
        <w:left w:val="none" w:sz="0" w:space="0" w:color="auto"/>
        <w:bottom w:val="none" w:sz="0" w:space="0" w:color="auto"/>
        <w:right w:val="none" w:sz="0" w:space="0" w:color="auto"/>
      </w:divBdr>
    </w:div>
    <w:div w:id="1407069645">
      <w:bodyDiv w:val="1"/>
      <w:marLeft w:val="0"/>
      <w:marRight w:val="0"/>
      <w:marTop w:val="0"/>
      <w:marBottom w:val="0"/>
      <w:divBdr>
        <w:top w:val="none" w:sz="0" w:space="0" w:color="auto"/>
        <w:left w:val="none" w:sz="0" w:space="0" w:color="auto"/>
        <w:bottom w:val="none" w:sz="0" w:space="0" w:color="auto"/>
        <w:right w:val="none" w:sz="0" w:space="0" w:color="auto"/>
      </w:divBdr>
    </w:div>
    <w:div w:id="1434477990">
      <w:bodyDiv w:val="1"/>
      <w:marLeft w:val="0"/>
      <w:marRight w:val="0"/>
      <w:marTop w:val="0"/>
      <w:marBottom w:val="0"/>
      <w:divBdr>
        <w:top w:val="none" w:sz="0" w:space="0" w:color="auto"/>
        <w:left w:val="none" w:sz="0" w:space="0" w:color="auto"/>
        <w:bottom w:val="none" w:sz="0" w:space="0" w:color="auto"/>
        <w:right w:val="none" w:sz="0" w:space="0" w:color="auto"/>
      </w:divBdr>
    </w:div>
    <w:div w:id="1489976314">
      <w:bodyDiv w:val="1"/>
      <w:marLeft w:val="0"/>
      <w:marRight w:val="0"/>
      <w:marTop w:val="0"/>
      <w:marBottom w:val="0"/>
      <w:divBdr>
        <w:top w:val="none" w:sz="0" w:space="0" w:color="auto"/>
        <w:left w:val="none" w:sz="0" w:space="0" w:color="auto"/>
        <w:bottom w:val="none" w:sz="0" w:space="0" w:color="auto"/>
        <w:right w:val="none" w:sz="0" w:space="0" w:color="auto"/>
      </w:divBdr>
    </w:div>
    <w:div w:id="1583875238">
      <w:bodyDiv w:val="1"/>
      <w:marLeft w:val="0"/>
      <w:marRight w:val="0"/>
      <w:marTop w:val="0"/>
      <w:marBottom w:val="0"/>
      <w:divBdr>
        <w:top w:val="none" w:sz="0" w:space="0" w:color="auto"/>
        <w:left w:val="none" w:sz="0" w:space="0" w:color="auto"/>
        <w:bottom w:val="none" w:sz="0" w:space="0" w:color="auto"/>
        <w:right w:val="none" w:sz="0" w:space="0" w:color="auto"/>
      </w:divBdr>
    </w:div>
    <w:div w:id="1584953813">
      <w:bodyDiv w:val="1"/>
      <w:marLeft w:val="0"/>
      <w:marRight w:val="0"/>
      <w:marTop w:val="0"/>
      <w:marBottom w:val="0"/>
      <w:divBdr>
        <w:top w:val="none" w:sz="0" w:space="0" w:color="auto"/>
        <w:left w:val="none" w:sz="0" w:space="0" w:color="auto"/>
        <w:bottom w:val="none" w:sz="0" w:space="0" w:color="auto"/>
        <w:right w:val="none" w:sz="0" w:space="0" w:color="auto"/>
      </w:divBdr>
    </w:div>
    <w:div w:id="1607539836">
      <w:bodyDiv w:val="1"/>
      <w:marLeft w:val="0"/>
      <w:marRight w:val="0"/>
      <w:marTop w:val="0"/>
      <w:marBottom w:val="0"/>
      <w:divBdr>
        <w:top w:val="none" w:sz="0" w:space="0" w:color="auto"/>
        <w:left w:val="none" w:sz="0" w:space="0" w:color="auto"/>
        <w:bottom w:val="none" w:sz="0" w:space="0" w:color="auto"/>
        <w:right w:val="none" w:sz="0" w:space="0" w:color="auto"/>
      </w:divBdr>
    </w:div>
    <w:div w:id="1665547591">
      <w:bodyDiv w:val="1"/>
      <w:marLeft w:val="0"/>
      <w:marRight w:val="0"/>
      <w:marTop w:val="0"/>
      <w:marBottom w:val="0"/>
      <w:divBdr>
        <w:top w:val="none" w:sz="0" w:space="0" w:color="auto"/>
        <w:left w:val="none" w:sz="0" w:space="0" w:color="auto"/>
        <w:bottom w:val="none" w:sz="0" w:space="0" w:color="auto"/>
        <w:right w:val="none" w:sz="0" w:space="0" w:color="auto"/>
      </w:divBdr>
    </w:div>
    <w:div w:id="1753744551">
      <w:bodyDiv w:val="1"/>
      <w:marLeft w:val="0"/>
      <w:marRight w:val="0"/>
      <w:marTop w:val="0"/>
      <w:marBottom w:val="0"/>
      <w:divBdr>
        <w:top w:val="none" w:sz="0" w:space="0" w:color="auto"/>
        <w:left w:val="none" w:sz="0" w:space="0" w:color="auto"/>
        <w:bottom w:val="none" w:sz="0" w:space="0" w:color="auto"/>
        <w:right w:val="none" w:sz="0" w:space="0" w:color="auto"/>
      </w:divBdr>
    </w:div>
    <w:div w:id="1894612869">
      <w:bodyDiv w:val="1"/>
      <w:marLeft w:val="0"/>
      <w:marRight w:val="0"/>
      <w:marTop w:val="0"/>
      <w:marBottom w:val="0"/>
      <w:divBdr>
        <w:top w:val="none" w:sz="0" w:space="0" w:color="auto"/>
        <w:left w:val="none" w:sz="0" w:space="0" w:color="auto"/>
        <w:bottom w:val="none" w:sz="0" w:space="0" w:color="auto"/>
        <w:right w:val="none" w:sz="0" w:space="0" w:color="auto"/>
      </w:divBdr>
    </w:div>
    <w:div w:id="1911765022">
      <w:bodyDiv w:val="1"/>
      <w:marLeft w:val="0"/>
      <w:marRight w:val="0"/>
      <w:marTop w:val="0"/>
      <w:marBottom w:val="0"/>
      <w:divBdr>
        <w:top w:val="none" w:sz="0" w:space="0" w:color="auto"/>
        <w:left w:val="none" w:sz="0" w:space="0" w:color="auto"/>
        <w:bottom w:val="none" w:sz="0" w:space="0" w:color="auto"/>
        <w:right w:val="none" w:sz="0" w:space="0" w:color="auto"/>
      </w:divBdr>
    </w:div>
    <w:div w:id="1926838230">
      <w:bodyDiv w:val="1"/>
      <w:marLeft w:val="0"/>
      <w:marRight w:val="0"/>
      <w:marTop w:val="0"/>
      <w:marBottom w:val="0"/>
      <w:divBdr>
        <w:top w:val="none" w:sz="0" w:space="0" w:color="auto"/>
        <w:left w:val="none" w:sz="0" w:space="0" w:color="auto"/>
        <w:bottom w:val="none" w:sz="0" w:space="0" w:color="auto"/>
        <w:right w:val="none" w:sz="0" w:space="0" w:color="auto"/>
      </w:divBdr>
    </w:div>
    <w:div w:id="2066635255">
      <w:bodyDiv w:val="1"/>
      <w:marLeft w:val="0"/>
      <w:marRight w:val="0"/>
      <w:marTop w:val="0"/>
      <w:marBottom w:val="0"/>
      <w:divBdr>
        <w:top w:val="none" w:sz="0" w:space="0" w:color="auto"/>
        <w:left w:val="none" w:sz="0" w:space="0" w:color="auto"/>
        <w:bottom w:val="none" w:sz="0" w:space="0" w:color="auto"/>
        <w:right w:val="none" w:sz="0" w:space="0" w:color="auto"/>
      </w:divBdr>
    </w:div>
    <w:div w:id="2124885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kb.osu.edu/bitstream/handle/1811/91856/1/OSLJ_V81N3_0349.pdf" TargetMode="External"/><Relationship Id="rId13" Type="http://schemas.openxmlformats.org/officeDocument/2006/relationships/hyperlink" Target="https://heinonline.org/hol/landingpage?handle=hein.journals/elrna50&amp;div=29&amp;id=&amp;page" TargetMode="External"/><Relationship Id="rId18" Type="http://schemas.openxmlformats.org/officeDocument/2006/relationships/hyperlink" Target="https://law.lclark.edu/live/files/30163-50-2-ruple" TargetMode="External"/><Relationship Id="rId26" Type="http://schemas.openxmlformats.org/officeDocument/2006/relationships/hyperlink" Target="https://www.eli.org/sites/default/files/docs/elpar/elpar_methodology_2020-2021.pdf" TargetMode="External"/><Relationship Id="rId3" Type="http://schemas.openxmlformats.org/officeDocument/2006/relationships/styles" Target="styles.xml"/><Relationship Id="rId21" Type="http://schemas.openxmlformats.org/officeDocument/2006/relationships/hyperlink" Target="http://www.velj.org/uploads/1/2/7/0/12706894/38.1_sourgens_final_formatted.pdf" TargetMode="External"/><Relationship Id="rId7" Type="http://schemas.openxmlformats.org/officeDocument/2006/relationships/hyperlink" Target="https://digitalcommons.law.uw.edu/cgi/viewcontent.cgi?article=5103&amp;context=wlr" TargetMode="External"/><Relationship Id="rId12" Type="http://schemas.openxmlformats.org/officeDocument/2006/relationships/hyperlink" Target="https://scholarship.law.duke.edu/cgi/viewcontent.cgi?article=3996&amp;context=dlj" TargetMode="External"/><Relationship Id="rId17" Type="http://schemas.openxmlformats.org/officeDocument/2006/relationships/hyperlink" Target="http://lawreview.colorado.edu/wp-content/uploads/2020/02/Pidot_Final.pdf" TargetMode="External"/><Relationship Id="rId25" Type="http://schemas.openxmlformats.org/officeDocument/2006/relationships/hyperlink" Target="https://bit.ly/35LQUyM" TargetMode="External"/><Relationship Id="rId2" Type="http://schemas.openxmlformats.org/officeDocument/2006/relationships/numbering" Target="numbering.xml"/><Relationship Id="rId16" Type="http://schemas.openxmlformats.org/officeDocument/2006/relationships/hyperlink" Target="http://vjel.vermontlaw.edu/files/2020/05/Miller_Final.pdf" TargetMode="External"/><Relationship Id="rId20" Type="http://schemas.openxmlformats.org/officeDocument/2006/relationships/hyperlink" Target="https://bit.ly/2JbEpF1" TargetMode="External"/><Relationship Id="rId1" Type="http://schemas.openxmlformats.org/officeDocument/2006/relationships/customXml" Target="../customXml/item1.xml"/><Relationship Id="rId6" Type="http://schemas.openxmlformats.org/officeDocument/2006/relationships/hyperlink" Target="https://journals.library.columbia.edu/index.php/cjel/article/view/4730/2118" TargetMode="External"/><Relationship Id="rId11" Type="http://schemas.openxmlformats.org/officeDocument/2006/relationships/hyperlink" Target="http://repository.law.wisc.edu/s/uwlaw/media/303591" TargetMode="External"/><Relationship Id="rId24" Type="http://schemas.openxmlformats.org/officeDocument/2006/relationships/hyperlink" Target="https://www.uclalawreview.org/wp-content/uploads/securepdfs/2020/07/Welton-67-1.pdf" TargetMode="External"/><Relationship Id="rId5" Type="http://schemas.openxmlformats.org/officeDocument/2006/relationships/webSettings" Target="webSettings.xml"/><Relationship Id="rId15" Type="http://schemas.openxmlformats.org/officeDocument/2006/relationships/hyperlink" Target="https://bit.ly/3kM81XI" TargetMode="External"/><Relationship Id="rId23" Type="http://schemas.openxmlformats.org/officeDocument/2006/relationships/hyperlink" Target="https://bit.ly/34PE6IE" TargetMode="External"/><Relationship Id="rId28" Type="http://schemas.openxmlformats.org/officeDocument/2006/relationships/theme" Target="theme/theme1.xml"/><Relationship Id="rId10" Type="http://schemas.openxmlformats.org/officeDocument/2006/relationships/hyperlink" Target="https://harvardelr.com/wp-content/uploads/sites/12/2020/04/44.1-Kakade.pdf" TargetMode="External"/><Relationship Id="rId19" Type="http://schemas.openxmlformats.org/officeDocument/2006/relationships/hyperlink" Target="https://stanford.io/3mNj7vQ" TargetMode="External"/><Relationship Id="rId4" Type="http://schemas.openxmlformats.org/officeDocument/2006/relationships/settings" Target="settings.xml"/><Relationship Id="rId9" Type="http://schemas.openxmlformats.org/officeDocument/2006/relationships/hyperlink" Target="https://scholarship.law.wm.edu/cgi/viewcontent.cgi?article=1763&amp;context=wmelpr" TargetMode="External"/><Relationship Id="rId14" Type="http://schemas.openxmlformats.org/officeDocument/2006/relationships/hyperlink" Target="https://papers.ssrn.com/sol3/papers.cfm?abstract_id=3598219" TargetMode="External"/><Relationship Id="rId22" Type="http://schemas.openxmlformats.org/officeDocument/2006/relationships/hyperlink" Target="https://www.virginialawreview.org/sites/virginialawreview.org/files/VanLoo_Book.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0445E-6E9B-45E0-BB66-81372FBAB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Biggs, Stephanie M</dc:creator>
  <cp:lastModifiedBy>Heather Luedke</cp:lastModifiedBy>
  <cp:revision>2</cp:revision>
  <cp:lastPrinted>2021-04-20T14:57:00Z</cp:lastPrinted>
  <dcterms:created xsi:type="dcterms:W3CDTF">2021-06-17T16:21:00Z</dcterms:created>
  <dcterms:modified xsi:type="dcterms:W3CDTF">2021-06-17T16:21:00Z</dcterms:modified>
</cp:coreProperties>
</file>